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9D69E1" w:rsidP="002A4BA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61824" behindDoc="1" locked="0" layoutInCell="1" allowOverlap="1" wp14:anchorId="363D62B6" wp14:editId="78C62970">
            <wp:simplePos x="0" y="0"/>
            <wp:positionH relativeFrom="page">
              <wp:posOffset>247650</wp:posOffset>
            </wp:positionH>
            <wp:positionV relativeFrom="page">
              <wp:posOffset>701261</wp:posOffset>
            </wp:positionV>
            <wp:extent cx="10205720" cy="8851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ity 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7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494">
        <w:t xml:space="preserve">CCDM </w:t>
      </w:r>
      <w:r w:rsidR="00235BBD">
        <w:t>s</w:t>
      </w:r>
      <w:r w:rsidR="00E80D49">
        <w:t xml:space="preserve">tandards </w:t>
      </w:r>
      <w:r w:rsidR="00235BBD">
        <w:t>a</w:t>
      </w:r>
      <w:r w:rsidR="00E80D49">
        <w:t>ssessment</w:t>
      </w:r>
      <w:r w:rsidR="006E5726">
        <w:t xml:space="preserve"> </w:t>
      </w:r>
      <w:r w:rsidR="00235BBD">
        <w:t>f</w:t>
      </w:r>
      <w:r w:rsidR="006E5726">
        <w:t>orm</w:t>
      </w:r>
    </w:p>
    <w:p w:rsidR="00E80D49" w:rsidRDefault="00235BBD" w:rsidP="00E80D49">
      <w:pPr>
        <w:rPr>
          <w:b/>
          <w:sz w:val="24"/>
        </w:rPr>
      </w:pPr>
      <w:r>
        <w:rPr>
          <w:color w:val="A79F53"/>
          <w:sz w:val="28"/>
          <w:szCs w:val="28"/>
        </w:rPr>
        <w:t>CCDM council</w:t>
      </w:r>
      <w:r w:rsidR="00E80D49" w:rsidRPr="00E80D49">
        <w:rPr>
          <w:color w:val="A79F53"/>
          <w:sz w:val="28"/>
          <w:szCs w:val="28"/>
        </w:rPr>
        <w:t>:</w:t>
      </w:r>
      <w:r w:rsidR="00E80D49">
        <w:rPr>
          <w:b/>
          <w:sz w:val="24"/>
        </w:rPr>
        <w:t xml:space="preserve"> </w:t>
      </w:r>
      <w:r w:rsidR="00E80D49" w:rsidRPr="004D7EBD">
        <w:rPr>
          <w:color w:val="D9D9D9" w:themeColor="background1" w:themeShade="D9"/>
          <w:sz w:val="24"/>
        </w:rPr>
        <w:t>&lt; Insert name &gt;</w:t>
      </w:r>
      <w:r w:rsidR="00E80D49">
        <w:rPr>
          <w:sz w:val="24"/>
        </w:rPr>
        <w:tab/>
      </w:r>
      <w:r w:rsidR="00E80D49">
        <w:rPr>
          <w:sz w:val="24"/>
        </w:rPr>
        <w:tab/>
      </w:r>
      <w:r w:rsidR="00E80D49">
        <w:rPr>
          <w:sz w:val="24"/>
        </w:rPr>
        <w:tab/>
      </w:r>
      <w:r w:rsidR="00E80D49">
        <w:rPr>
          <w:sz w:val="24"/>
        </w:rPr>
        <w:tab/>
      </w:r>
      <w:r w:rsidR="00E80D49">
        <w:rPr>
          <w:sz w:val="24"/>
        </w:rPr>
        <w:tab/>
      </w:r>
      <w:r w:rsidR="00E80D49">
        <w:rPr>
          <w:sz w:val="24"/>
        </w:rPr>
        <w:tab/>
      </w:r>
      <w:r w:rsidR="00E80D49">
        <w:rPr>
          <w:sz w:val="24"/>
        </w:rPr>
        <w:tab/>
        <w:t xml:space="preserve"> </w:t>
      </w:r>
      <w:r w:rsidR="00E80D49" w:rsidRPr="00E80D49">
        <w:rPr>
          <w:color w:val="A79F53"/>
          <w:sz w:val="28"/>
          <w:szCs w:val="28"/>
        </w:rPr>
        <w:t xml:space="preserve">CCDM </w:t>
      </w:r>
      <w:r>
        <w:rPr>
          <w:color w:val="A79F53"/>
          <w:sz w:val="28"/>
          <w:szCs w:val="28"/>
        </w:rPr>
        <w:t>s</w:t>
      </w:r>
      <w:r w:rsidR="00E80D49" w:rsidRPr="00E80D49">
        <w:rPr>
          <w:color w:val="A79F53"/>
          <w:sz w:val="28"/>
          <w:szCs w:val="28"/>
        </w:rPr>
        <w:t xml:space="preserve">tart </w:t>
      </w:r>
      <w:r>
        <w:rPr>
          <w:color w:val="A79F53"/>
          <w:sz w:val="28"/>
          <w:szCs w:val="28"/>
        </w:rPr>
        <w:t>d</w:t>
      </w:r>
      <w:r w:rsidR="00E80D49" w:rsidRPr="00E80D49">
        <w:rPr>
          <w:color w:val="A79F53"/>
          <w:sz w:val="28"/>
          <w:szCs w:val="28"/>
        </w:rPr>
        <w:t>ate:</w:t>
      </w:r>
      <w:r w:rsidR="00E80D49">
        <w:rPr>
          <w:b/>
          <w:sz w:val="24"/>
        </w:rPr>
        <w:t xml:space="preserve"> </w:t>
      </w:r>
      <w:r w:rsidR="00E80D49">
        <w:rPr>
          <w:color w:val="D9D9D9" w:themeColor="background1" w:themeShade="D9"/>
          <w:sz w:val="24"/>
        </w:rPr>
        <w:t>&lt; Insert date</w:t>
      </w:r>
      <w:r w:rsidR="00E80D49" w:rsidRPr="004D7EBD">
        <w:rPr>
          <w:color w:val="D9D9D9" w:themeColor="background1" w:themeShade="D9"/>
          <w:sz w:val="24"/>
        </w:rPr>
        <w:t xml:space="preserve"> &gt;</w:t>
      </w:r>
    </w:p>
    <w:p w:rsidR="00E80D49" w:rsidRPr="00E80D49" w:rsidRDefault="00E80D49" w:rsidP="00E80D49">
      <w:pPr>
        <w:pStyle w:val="Heading1"/>
      </w:pPr>
      <w:r w:rsidRPr="00E80D49">
        <w:t>Purpose</w:t>
      </w:r>
    </w:p>
    <w:p w:rsidR="00E80D49" w:rsidRDefault="00E80D49" w:rsidP="00E80D49">
      <w:r>
        <w:t xml:space="preserve">This document provides a tool for a partnership assessment against the CCDM Programme </w:t>
      </w:r>
      <w:r w:rsidR="00235BBD">
        <w:t>s</w:t>
      </w:r>
      <w:r>
        <w:t xml:space="preserve">tandards. Completing the assessment will provide evidence of the degree to which the </w:t>
      </w:r>
      <w:r w:rsidR="00235BBD">
        <w:t>s</w:t>
      </w:r>
      <w:r>
        <w:t>tandards have been attained from; not attained (NA), partially attained (PA), and fully attained (FA) to business as usual (BAU). The degree of attainment can in turn b</w:t>
      </w:r>
      <w:r w:rsidR="00B8266B">
        <w:t>e used to develop the CCDM work</w:t>
      </w:r>
      <w:r>
        <w:t>plan.</w:t>
      </w:r>
      <w:r w:rsidRPr="00A72A18">
        <w:t xml:space="preserve"> </w:t>
      </w:r>
    </w:p>
    <w:p w:rsidR="00E80D49" w:rsidRDefault="00E80D49" w:rsidP="00E80D49">
      <w:r>
        <w:t xml:space="preserve">The assessment can be completed prior to engaging with the CCDM Programme, during the programme or as an assessment for </w:t>
      </w:r>
      <w:r w:rsidR="008F1BD0">
        <w:t>completion of the programme</w:t>
      </w:r>
      <w:r>
        <w:t xml:space="preserve"> (or anytime in between to assess progress with implementation).  Completed assessments will be reviewed by the CCDM </w:t>
      </w:r>
      <w:r w:rsidR="00235BBD">
        <w:t>c</w:t>
      </w:r>
      <w:r>
        <w:t>ouncil, Safe Staffing Healthy Workplaces Unit and the SSHW Governance Group.</w:t>
      </w:r>
    </w:p>
    <w:p w:rsidR="00E80D49" w:rsidRDefault="00E80D49" w:rsidP="00E80D49">
      <w:pPr>
        <w:pStyle w:val="Heading1"/>
      </w:pPr>
      <w:r w:rsidRPr="00E80D49">
        <w:t>Instructions</w:t>
      </w:r>
      <w:r>
        <w:t xml:space="preserve"> </w:t>
      </w:r>
    </w:p>
    <w:p w:rsidR="00E80D4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 xml:space="preserve">Use the assessment tool in conjunction with the CCDM Programme </w:t>
      </w:r>
      <w:r w:rsidR="00235BBD">
        <w:t>s</w:t>
      </w:r>
      <w:r>
        <w:t xml:space="preserve">tandards.  Complete the assessment as an individual, team or group e.g. CCDM </w:t>
      </w:r>
      <w:r w:rsidR="007F1935">
        <w:t>c</w:t>
      </w:r>
      <w:r>
        <w:t>ouncil.</w:t>
      </w:r>
    </w:p>
    <w:p w:rsidR="00961F0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 xml:space="preserve">Start at the beginning and work your way through each standard and each of the criterion. </w:t>
      </w:r>
    </w:p>
    <w:p w:rsidR="00E80D49" w:rsidRDefault="00E80D49" w:rsidP="00961F09">
      <w:pPr>
        <w:pStyle w:val="ListParagraph"/>
        <w:spacing w:after="200"/>
        <w:jc w:val="left"/>
      </w:pPr>
      <w:r>
        <w:t>Note</w:t>
      </w:r>
      <w:r w:rsidR="00961F09">
        <w:t>:</w:t>
      </w:r>
      <w:r>
        <w:t xml:space="preserve"> CCDM Programme terminology is used throughout the document. </w:t>
      </w:r>
      <w:r w:rsidR="00961F09">
        <w:t>CCDM councils</w:t>
      </w:r>
      <w:r>
        <w:t xml:space="preserve"> may not use the same terminology but should have an equivalent e.g. </w:t>
      </w:r>
      <w:r w:rsidR="00235BBD">
        <w:t>l</w:t>
      </w:r>
      <w:r>
        <w:t xml:space="preserve">ocal </w:t>
      </w:r>
      <w:r w:rsidR="00235BBD">
        <w:t>d</w:t>
      </w:r>
      <w:r>
        <w:t xml:space="preserve">ata </w:t>
      </w:r>
      <w:r w:rsidR="00235BBD">
        <w:t>c</w:t>
      </w:r>
      <w:r>
        <w:t>ouncil may be called another name.</w:t>
      </w:r>
    </w:p>
    <w:p w:rsidR="00E80D4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>For each criterion, describe how the DHB meets the criteria (and the overall standard).</w:t>
      </w:r>
    </w:p>
    <w:p w:rsidR="00E80D4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 xml:space="preserve">Provide examples of evidence from each level of the organisation – executive, directorate (or services) and ward/unit. Examples of evidence should include what people have said, what is written in documents (e.g. meeting minutes, TOR, action plans, policies &amp; procedures, standard operating procedures) and what is observed in practice (i.e. processes followed). </w:t>
      </w:r>
    </w:p>
    <w:p w:rsidR="00E80D49" w:rsidRPr="00BF12C2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>Collate all respondents’ evidence into one document. Respondents must include DHB and health union partners.</w:t>
      </w:r>
      <w:r w:rsidRPr="0087497B">
        <w:rPr>
          <w:color w:val="967F71" w:themeColor="text2" w:themeTint="99"/>
        </w:rPr>
        <w:t xml:space="preserve"> </w:t>
      </w:r>
      <w:r w:rsidRPr="00BF12C2">
        <w:t xml:space="preserve">The SSHW Unit </w:t>
      </w:r>
      <w:r w:rsidR="00235BBD">
        <w:t>P</w:t>
      </w:r>
      <w:r w:rsidRPr="00BF12C2">
        <w:t xml:space="preserve">rogramme </w:t>
      </w:r>
      <w:r w:rsidR="00235BBD">
        <w:t>C</w:t>
      </w:r>
      <w:r w:rsidRPr="00BF12C2">
        <w:t xml:space="preserve">onsultant can support evidence collection and/or collation of information.  </w:t>
      </w:r>
    </w:p>
    <w:p w:rsidR="00E80D4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 xml:space="preserve">Submit the completed document for discussion at the CCDM </w:t>
      </w:r>
      <w:r w:rsidR="00235BBD">
        <w:t>c</w:t>
      </w:r>
      <w:r>
        <w:t>ouncil.</w:t>
      </w:r>
    </w:p>
    <w:p w:rsidR="00E80D49" w:rsidRDefault="00E80D49" w:rsidP="00E80D49">
      <w:pPr>
        <w:pStyle w:val="ListParagraph"/>
        <w:numPr>
          <w:ilvl w:val="0"/>
          <w:numId w:val="7"/>
        </w:numPr>
        <w:spacing w:after="200"/>
        <w:jc w:val="left"/>
      </w:pPr>
      <w:r>
        <w:t xml:space="preserve">Note the </w:t>
      </w:r>
      <w:r w:rsidR="00235BBD">
        <w:t>s</w:t>
      </w:r>
      <w:r>
        <w:t xml:space="preserve">taffing </w:t>
      </w:r>
      <w:r w:rsidR="00235BBD">
        <w:t>m</w:t>
      </w:r>
      <w:r>
        <w:t xml:space="preserve">ethodology </w:t>
      </w:r>
      <w:r w:rsidR="00235BBD">
        <w:t>s</w:t>
      </w:r>
      <w:r>
        <w:t>tandard is for in-patient only areas</w:t>
      </w:r>
      <w:r w:rsidR="006E5726">
        <w:t>.</w:t>
      </w:r>
    </w:p>
    <w:p w:rsidR="00E80D49" w:rsidRDefault="00E80D49" w:rsidP="00E80D49">
      <w:pPr>
        <w:spacing w:line="240" w:lineRule="auto"/>
      </w:pPr>
      <w:r>
        <w:lastRenderedPageBreak/>
        <w:t xml:space="preserve">Signed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   </w:t>
      </w:r>
      <w:r w:rsidRPr="00FD4CAC">
        <w:rPr>
          <w:color w:val="808080" w:themeColor="background1" w:themeShade="80"/>
        </w:rPr>
        <w:t xml:space="preserve">/ </w:t>
      </w:r>
      <w:r>
        <w:t xml:space="preserve">     </w:t>
      </w:r>
      <w:r w:rsidRPr="00FD4CAC">
        <w:rPr>
          <w:color w:val="808080" w:themeColor="background1" w:themeShade="80"/>
        </w:rPr>
        <w:t xml:space="preserve">/ </w:t>
      </w:r>
      <w:r>
        <w:t>20</w:t>
      </w:r>
      <w:r w:rsidRPr="00FD4CAC">
        <w:rPr>
          <w:color w:val="808080" w:themeColor="background1" w:themeShade="8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9"/>
        <w:gridCol w:w="7169"/>
      </w:tblGrid>
      <w:tr w:rsidR="00E80D49" w:rsidTr="001D36C1">
        <w:tc>
          <w:tcPr>
            <w:tcW w:w="7169" w:type="dxa"/>
            <w:tcBorders>
              <w:top w:val="nil"/>
              <w:left w:val="nil"/>
              <w:bottom w:val="single" w:sz="4" w:space="0" w:color="auto"/>
            </w:tcBorders>
          </w:tcPr>
          <w:p w:rsidR="00E80D49" w:rsidRDefault="00E80D49" w:rsidP="001D36C1">
            <w:pPr>
              <w:spacing w:before="60"/>
            </w:pPr>
            <w:r>
              <w:t>CEO</w:t>
            </w:r>
          </w:p>
        </w:tc>
        <w:tc>
          <w:tcPr>
            <w:tcW w:w="7169" w:type="dxa"/>
            <w:tcBorders>
              <w:top w:val="nil"/>
              <w:bottom w:val="single" w:sz="4" w:space="0" w:color="auto"/>
              <w:right w:val="nil"/>
            </w:tcBorders>
          </w:tcPr>
          <w:p w:rsidR="00E80D49" w:rsidRDefault="00E80D49" w:rsidP="001D36C1">
            <w:pPr>
              <w:spacing w:before="60"/>
            </w:pPr>
            <w:r>
              <w:t>DON/M</w:t>
            </w:r>
          </w:p>
        </w:tc>
      </w:tr>
      <w:tr w:rsidR="00E80D49" w:rsidTr="001D36C1">
        <w:tc>
          <w:tcPr>
            <w:tcW w:w="7169" w:type="dxa"/>
            <w:tcBorders>
              <w:left w:val="nil"/>
            </w:tcBorders>
          </w:tcPr>
          <w:p w:rsidR="00E80D49" w:rsidRDefault="008F1BD0" w:rsidP="001D36C1">
            <w:pPr>
              <w:spacing w:before="60"/>
            </w:pPr>
            <w:r>
              <w:t>Health u</w:t>
            </w:r>
            <w:r w:rsidR="00E80D49">
              <w:t>nion partner (1)</w:t>
            </w:r>
            <w:r w:rsidR="00E80D49">
              <w:tab/>
            </w:r>
            <w:r w:rsidR="00E80D49">
              <w:tab/>
            </w:r>
            <w:r w:rsidR="00E80D49">
              <w:tab/>
            </w:r>
            <w:r w:rsidR="00E80D49">
              <w:tab/>
            </w:r>
            <w:r w:rsidR="00E80D49">
              <w:tab/>
            </w:r>
          </w:p>
        </w:tc>
        <w:tc>
          <w:tcPr>
            <w:tcW w:w="7169" w:type="dxa"/>
            <w:tcBorders>
              <w:right w:val="nil"/>
            </w:tcBorders>
          </w:tcPr>
          <w:p w:rsidR="00E80D49" w:rsidRDefault="008F1BD0" w:rsidP="001D36C1">
            <w:pPr>
              <w:spacing w:before="60"/>
            </w:pPr>
            <w:r>
              <w:t>Health u</w:t>
            </w:r>
            <w:r w:rsidR="00E80D49">
              <w:t>nion partner (2)</w:t>
            </w:r>
          </w:p>
        </w:tc>
      </w:tr>
      <w:tr w:rsidR="00E80D49" w:rsidTr="001D36C1">
        <w:tc>
          <w:tcPr>
            <w:tcW w:w="7169" w:type="dxa"/>
            <w:tcBorders>
              <w:left w:val="nil"/>
            </w:tcBorders>
          </w:tcPr>
          <w:p w:rsidR="00E80D49" w:rsidRDefault="008F1BD0" w:rsidP="001D36C1">
            <w:pPr>
              <w:spacing w:before="60"/>
            </w:pPr>
            <w:r>
              <w:t>Health u</w:t>
            </w:r>
            <w:r w:rsidR="00E80D49">
              <w:t>nion partner (3)</w:t>
            </w:r>
          </w:p>
        </w:tc>
        <w:tc>
          <w:tcPr>
            <w:tcW w:w="7169" w:type="dxa"/>
            <w:tcBorders>
              <w:right w:val="nil"/>
            </w:tcBorders>
          </w:tcPr>
          <w:p w:rsidR="00E80D49" w:rsidRDefault="00E80D49" w:rsidP="001D36C1">
            <w:pPr>
              <w:spacing w:before="60"/>
            </w:pPr>
            <w:r>
              <w:t>SSHW</w:t>
            </w:r>
            <w:r w:rsidR="008F1BD0">
              <w:t xml:space="preserve"> </w:t>
            </w:r>
            <w:r>
              <w:t>U</w:t>
            </w:r>
            <w:r w:rsidR="008F1BD0">
              <w:t>nit Programme</w:t>
            </w:r>
            <w:r>
              <w:t xml:space="preserve"> Consultant</w:t>
            </w:r>
          </w:p>
        </w:tc>
      </w:tr>
    </w:tbl>
    <w:p w:rsidR="00E80D49" w:rsidRDefault="00E80D49" w:rsidP="008F1BD0">
      <w:pPr>
        <w:pStyle w:val="Heading2"/>
      </w:pPr>
      <w:r>
        <w:t xml:space="preserve">Assessment </w:t>
      </w:r>
      <w:r w:rsidR="008F1BD0">
        <w:t>c</w:t>
      </w:r>
      <w:r>
        <w:t>ontributors</w:t>
      </w:r>
    </w:p>
    <w:tbl>
      <w:tblPr>
        <w:tblStyle w:val="TableGrid"/>
        <w:tblW w:w="14337" w:type="dxa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3585"/>
      </w:tblGrid>
      <w:tr w:rsidR="00E80D49" w:rsidTr="001D36C1"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3585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Role </w:t>
            </w:r>
          </w:p>
        </w:tc>
      </w:tr>
      <w:tr w:rsidR="00E80D49" w:rsidTr="001D36C1"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Role 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3585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Role </w:t>
            </w:r>
          </w:p>
        </w:tc>
      </w:tr>
      <w:tr w:rsidR="00E80D49" w:rsidTr="001D36C1"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3585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  <w:tr w:rsidR="00E80D49" w:rsidTr="001D36C1"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  <w:tc>
          <w:tcPr>
            <w:tcW w:w="3584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3585" w:type="dxa"/>
          </w:tcPr>
          <w:p w:rsidR="00E80D49" w:rsidRPr="0072265B" w:rsidRDefault="00E80D49" w:rsidP="001D36C1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</w:tbl>
    <w:p w:rsidR="00E80D49" w:rsidRDefault="00E80D49" w:rsidP="00E80D49">
      <w:pPr>
        <w:pStyle w:val="NoSpacing"/>
      </w:pPr>
    </w:p>
    <w:p w:rsidR="00E80D49" w:rsidRDefault="00E80D49" w:rsidP="008F1BD0">
      <w:pPr>
        <w:pStyle w:val="Heading2"/>
      </w:pPr>
      <w:r>
        <w:t xml:space="preserve">Assessment </w:t>
      </w:r>
      <w:r w:rsidR="008F1BD0">
        <w:t>a</w:t>
      </w:r>
      <w:r>
        <w:t xml:space="preserve">ttainment </w:t>
      </w:r>
      <w:r w:rsidR="008F1BD0">
        <w:t>l</w:t>
      </w:r>
      <w:r>
        <w:t>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799"/>
      </w:tblGrid>
      <w:tr w:rsidR="00E80D49" w:rsidTr="007F1935">
        <w:tc>
          <w:tcPr>
            <w:tcW w:w="3539" w:type="dxa"/>
          </w:tcPr>
          <w:p w:rsidR="00E80D49" w:rsidRPr="008F1BD0" w:rsidRDefault="00E80D49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b/>
                <w:sz w:val="24"/>
              </w:rPr>
              <w:t>Attainment level</w:t>
            </w:r>
          </w:p>
        </w:tc>
        <w:tc>
          <w:tcPr>
            <w:tcW w:w="10799" w:type="dxa"/>
          </w:tcPr>
          <w:p w:rsidR="00E80D49" w:rsidRPr="008F1BD0" w:rsidRDefault="00E80D49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b/>
                <w:sz w:val="24"/>
              </w:rPr>
              <w:t>Definition</w:t>
            </w:r>
          </w:p>
        </w:tc>
      </w:tr>
      <w:tr w:rsidR="00E80D49" w:rsidTr="007F1935">
        <w:tc>
          <w:tcPr>
            <w:tcW w:w="3539" w:type="dxa"/>
          </w:tcPr>
          <w:p w:rsidR="00E80D49" w:rsidRPr="008F1BD0" w:rsidRDefault="00E80D49" w:rsidP="008F1BD0">
            <w:pPr>
              <w:rPr>
                <w:sz w:val="24"/>
              </w:rPr>
            </w:pPr>
            <w:r w:rsidRPr="008F1BD0">
              <w:rPr>
                <w:sz w:val="24"/>
              </w:rPr>
              <w:t xml:space="preserve">CI = Continuous </w:t>
            </w:r>
            <w:r w:rsidR="008F1BD0" w:rsidRPr="008F1BD0">
              <w:rPr>
                <w:sz w:val="24"/>
              </w:rPr>
              <w:t>i</w:t>
            </w:r>
            <w:r w:rsidRPr="008F1BD0">
              <w:rPr>
                <w:sz w:val="24"/>
              </w:rPr>
              <w:t xml:space="preserve">mprovement </w:t>
            </w:r>
          </w:p>
        </w:tc>
        <w:tc>
          <w:tcPr>
            <w:tcW w:w="10799" w:type="dxa"/>
          </w:tcPr>
          <w:p w:rsidR="00E80D49" w:rsidRPr="0060355D" w:rsidRDefault="00E80D49" w:rsidP="007F1935">
            <w:pPr>
              <w:jc w:val="left"/>
            </w:pPr>
            <w:r>
              <w:t>T</w:t>
            </w:r>
            <w:r w:rsidRPr="0060355D">
              <w:t xml:space="preserve">he DHB can </w:t>
            </w:r>
            <w:r>
              <w:t xml:space="preserve">in addition to demonstrating full attainment show a process of continuous improvement through evaluation and review of implementation. Actions taken are evaluated and there is evidence of improvement at a ward, service and hospital level. </w:t>
            </w:r>
          </w:p>
        </w:tc>
      </w:tr>
      <w:tr w:rsidR="00E80D49" w:rsidTr="007F1935">
        <w:tc>
          <w:tcPr>
            <w:tcW w:w="3539" w:type="dxa"/>
          </w:tcPr>
          <w:p w:rsidR="00E80D49" w:rsidRPr="008F1BD0" w:rsidRDefault="00E80D49" w:rsidP="008F1BD0">
            <w:pPr>
              <w:rPr>
                <w:sz w:val="24"/>
              </w:rPr>
            </w:pPr>
            <w:r w:rsidRPr="008F1BD0">
              <w:rPr>
                <w:sz w:val="24"/>
              </w:rPr>
              <w:t xml:space="preserve">FA = Fully </w:t>
            </w:r>
            <w:r w:rsidR="008F1BD0" w:rsidRPr="008F1BD0">
              <w:rPr>
                <w:sz w:val="24"/>
              </w:rPr>
              <w:t>a</w:t>
            </w:r>
            <w:r w:rsidRPr="008F1BD0">
              <w:rPr>
                <w:sz w:val="24"/>
              </w:rPr>
              <w:t>ttained</w:t>
            </w:r>
          </w:p>
        </w:tc>
        <w:tc>
          <w:tcPr>
            <w:tcW w:w="10799" w:type="dxa"/>
          </w:tcPr>
          <w:p w:rsidR="00E80D49" w:rsidRPr="0060355D" w:rsidRDefault="00E80D49" w:rsidP="003B7E16">
            <w:pPr>
              <w:jc w:val="left"/>
            </w:pPr>
            <w:r w:rsidRPr="0060355D">
              <w:t>The DHB can demonstrate implementation</w:t>
            </w:r>
            <w:r w:rsidR="003B7E16">
              <w:t>. This</w:t>
            </w:r>
            <w:r>
              <w:t xml:space="preserve"> includes</w:t>
            </w:r>
            <w:r w:rsidRPr="0060355D">
              <w:t xml:space="preserve"> practice evidence, reporting and visual evidence of CCDM process</w:t>
            </w:r>
            <w:r>
              <w:t>es</w:t>
            </w:r>
            <w:r w:rsidRPr="0060355D">
              <w:t xml:space="preserve"> and systems </w:t>
            </w:r>
            <w:r>
              <w:t>that</w:t>
            </w:r>
            <w:r w:rsidRPr="0060355D">
              <w:t xml:space="preserve"> meet the criterion</w:t>
            </w:r>
          </w:p>
        </w:tc>
      </w:tr>
      <w:tr w:rsidR="00E80D49" w:rsidTr="007F1935">
        <w:tc>
          <w:tcPr>
            <w:tcW w:w="3539" w:type="dxa"/>
          </w:tcPr>
          <w:p w:rsidR="00E80D49" w:rsidRPr="008F1BD0" w:rsidRDefault="00E80D49" w:rsidP="008F1BD0">
            <w:pPr>
              <w:rPr>
                <w:sz w:val="24"/>
              </w:rPr>
            </w:pPr>
            <w:r w:rsidRPr="008F1BD0">
              <w:rPr>
                <w:sz w:val="24"/>
              </w:rPr>
              <w:t xml:space="preserve">PA = Partially </w:t>
            </w:r>
            <w:r w:rsidR="008F1BD0" w:rsidRPr="008F1BD0">
              <w:rPr>
                <w:sz w:val="24"/>
              </w:rPr>
              <w:t>a</w:t>
            </w:r>
            <w:r w:rsidRPr="008F1BD0">
              <w:rPr>
                <w:sz w:val="24"/>
              </w:rPr>
              <w:t>ttained</w:t>
            </w:r>
          </w:p>
        </w:tc>
        <w:tc>
          <w:tcPr>
            <w:tcW w:w="10799" w:type="dxa"/>
          </w:tcPr>
          <w:p w:rsidR="00E80D49" w:rsidRPr="00FC4C36" w:rsidRDefault="00E80D49" w:rsidP="007F1935">
            <w:pPr>
              <w:jc w:val="left"/>
            </w:pPr>
            <w:r w:rsidRPr="00FC4C36">
              <w:t>The DHB can demonstrate</w:t>
            </w:r>
            <w:r>
              <w:t>:</w:t>
            </w:r>
          </w:p>
          <w:p w:rsidR="00E80D49" w:rsidRPr="0060355D" w:rsidRDefault="00E80D49" w:rsidP="007F1935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</w:rPr>
            </w:pPr>
            <w:r w:rsidRPr="0060355D">
              <w:t xml:space="preserve">Evidence of </w:t>
            </w:r>
            <w:r>
              <w:t xml:space="preserve">process </w:t>
            </w:r>
            <w:r w:rsidRPr="0060355D">
              <w:t>implementation (systems / procedure / guideline) without supporting structures.</w:t>
            </w:r>
          </w:p>
          <w:p w:rsidR="00E80D49" w:rsidRPr="0060355D" w:rsidRDefault="00E80D49" w:rsidP="007F1935">
            <w:pPr>
              <w:pStyle w:val="ListParagraph"/>
              <w:jc w:val="left"/>
            </w:pPr>
            <w:r w:rsidRPr="0060355D">
              <w:t>OR</w:t>
            </w:r>
          </w:p>
          <w:p w:rsidR="00E80D49" w:rsidRPr="0060355D" w:rsidRDefault="00E80D49" w:rsidP="007F1935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</w:rPr>
            </w:pPr>
            <w:r w:rsidRPr="0060355D">
              <w:t>Documented process</w:t>
            </w:r>
            <w:r>
              <w:t>es</w:t>
            </w:r>
            <w:r w:rsidRPr="0060355D">
              <w:t xml:space="preserve"> / systems or structure is evident but unable to demonstrate </w:t>
            </w:r>
            <w:r>
              <w:t xml:space="preserve">this at all levels of the organisation </w:t>
            </w:r>
            <w:r w:rsidRPr="0060355D">
              <w:t>ward – directorate – DHB where required</w:t>
            </w:r>
          </w:p>
        </w:tc>
      </w:tr>
      <w:tr w:rsidR="00E80D49" w:rsidTr="007F1935">
        <w:tc>
          <w:tcPr>
            <w:tcW w:w="3539" w:type="dxa"/>
          </w:tcPr>
          <w:p w:rsidR="00E80D49" w:rsidRPr="008F1BD0" w:rsidRDefault="00E80D49" w:rsidP="008F1BD0">
            <w:pPr>
              <w:rPr>
                <w:sz w:val="24"/>
              </w:rPr>
            </w:pPr>
            <w:r w:rsidRPr="008F1BD0">
              <w:rPr>
                <w:sz w:val="24"/>
              </w:rPr>
              <w:lastRenderedPageBreak/>
              <w:t xml:space="preserve">UN = </w:t>
            </w:r>
            <w:r w:rsidR="008F1BD0" w:rsidRPr="008F1BD0">
              <w:rPr>
                <w:sz w:val="24"/>
              </w:rPr>
              <w:t>u</w:t>
            </w:r>
            <w:r w:rsidRPr="008F1BD0">
              <w:rPr>
                <w:sz w:val="24"/>
              </w:rPr>
              <w:t>nattained</w:t>
            </w:r>
          </w:p>
        </w:tc>
        <w:tc>
          <w:tcPr>
            <w:tcW w:w="10799" w:type="dxa"/>
          </w:tcPr>
          <w:p w:rsidR="00E80D49" w:rsidRPr="0060355D" w:rsidRDefault="00E80D49" w:rsidP="001D36C1">
            <w:r w:rsidRPr="0060355D">
              <w:t>DHB unable to demonstrate appropriate process</w:t>
            </w:r>
            <w:r>
              <w:t>es</w:t>
            </w:r>
            <w:r w:rsidRPr="0060355D">
              <w:t>, systems, structures to meet the criterion</w:t>
            </w:r>
          </w:p>
        </w:tc>
      </w:tr>
    </w:tbl>
    <w:p w:rsidR="00E80D49" w:rsidRPr="009D2419" w:rsidRDefault="00E80D49" w:rsidP="00E80D49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E80D49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E80D49" w:rsidRPr="008F1BD0" w:rsidRDefault="00E80D49" w:rsidP="008F1BD0">
            <w:pPr>
              <w:pStyle w:val="Heading3"/>
              <w:rPr>
                <w:color w:val="auto"/>
              </w:rPr>
            </w:pPr>
            <w:r>
              <w:t>DHB areas of c</w:t>
            </w:r>
            <w:r w:rsidRPr="00FD4CAC">
              <w:t>ommendation</w:t>
            </w:r>
            <w:r>
              <w:t xml:space="preserve">: </w:t>
            </w:r>
            <w:r w:rsidRPr="008F1BD0">
              <w:rPr>
                <w:color w:val="auto"/>
              </w:rPr>
              <w:t>summarise the indicators of success</w:t>
            </w:r>
          </w:p>
          <w:p w:rsidR="005201CE" w:rsidRDefault="005201CE" w:rsidP="001D36C1">
            <w:pPr>
              <w:spacing w:before="60" w:after="60"/>
              <w:rPr>
                <w:b/>
                <w:color w:val="808080" w:themeColor="background1" w:themeShade="80"/>
                <w:sz w:val="24"/>
              </w:rPr>
            </w:pPr>
          </w:p>
          <w:p w:rsidR="005201CE" w:rsidRDefault="005201CE" w:rsidP="001D36C1">
            <w:pPr>
              <w:spacing w:before="60" w:after="60"/>
              <w:rPr>
                <w:b/>
                <w:sz w:val="24"/>
              </w:rPr>
            </w:pPr>
          </w:p>
          <w:p w:rsidR="005201CE" w:rsidRPr="00FD4CAC" w:rsidRDefault="005201CE" w:rsidP="001D36C1">
            <w:pPr>
              <w:spacing w:before="60" w:after="60"/>
              <w:rPr>
                <w:b/>
                <w:sz w:val="24"/>
              </w:rPr>
            </w:pPr>
          </w:p>
        </w:tc>
      </w:tr>
      <w:tr w:rsidR="00E80D49" w:rsidTr="001D36C1">
        <w:tc>
          <w:tcPr>
            <w:tcW w:w="14338" w:type="dxa"/>
            <w:tcBorders>
              <w:left w:val="nil"/>
              <w:right w:val="nil"/>
            </w:tcBorders>
          </w:tcPr>
          <w:p w:rsidR="00E80D49" w:rsidRDefault="00E80D49" w:rsidP="001D36C1">
            <w:pPr>
              <w:spacing w:before="60" w:after="60"/>
              <w:rPr>
                <w:b/>
                <w:color w:val="808080" w:themeColor="background1" w:themeShade="80"/>
                <w:sz w:val="24"/>
              </w:rPr>
            </w:pPr>
            <w:r w:rsidRPr="008F1BD0">
              <w:rPr>
                <w:rStyle w:val="Heading3Char"/>
              </w:rPr>
              <w:t>DHB 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  <w:p w:rsidR="005201CE" w:rsidRDefault="005201CE" w:rsidP="001D36C1">
            <w:pPr>
              <w:spacing w:before="60" w:after="60"/>
              <w:rPr>
                <w:b/>
                <w:color w:val="808080" w:themeColor="background1" w:themeShade="80"/>
                <w:sz w:val="24"/>
              </w:rPr>
            </w:pPr>
          </w:p>
          <w:p w:rsidR="005201CE" w:rsidRDefault="005201CE" w:rsidP="001D36C1">
            <w:pPr>
              <w:spacing w:before="60" w:after="60"/>
              <w:rPr>
                <w:b/>
                <w:sz w:val="24"/>
              </w:rPr>
            </w:pPr>
          </w:p>
          <w:p w:rsidR="005201CE" w:rsidRPr="00FD4CAC" w:rsidRDefault="005201CE" w:rsidP="001D36C1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E80D49" w:rsidRDefault="00E80D49" w:rsidP="00E80D49">
      <w:pPr>
        <w:spacing w:after="0" w:line="240" w:lineRule="auto"/>
        <w:rPr>
          <w:b/>
          <w:sz w:val="24"/>
        </w:rPr>
      </w:pPr>
    </w:p>
    <w:p w:rsidR="005201CE" w:rsidRDefault="005201CE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</w:rPr>
      </w:pPr>
      <w:r>
        <w:br w:type="page"/>
      </w:r>
    </w:p>
    <w:p w:rsidR="005201CE" w:rsidRPr="00041F9D" w:rsidRDefault="005201CE" w:rsidP="008F1BD0">
      <w:pPr>
        <w:pStyle w:val="Heading2"/>
      </w:pPr>
      <w:r>
        <w:lastRenderedPageBreak/>
        <w:t xml:space="preserve">Standard 1.0 – CCDM </w:t>
      </w:r>
      <w:r w:rsidR="008F1BD0">
        <w:t>g</w:t>
      </w:r>
      <w:r>
        <w:t>overnance</w:t>
      </w:r>
    </w:p>
    <w:tbl>
      <w:tblPr>
        <w:tblStyle w:val="TableGrid"/>
        <w:tblW w:w="0" w:type="auto"/>
        <w:shd w:val="clear" w:color="auto" w:fill="BFB97F"/>
        <w:tblLook w:val="04A0" w:firstRow="1" w:lastRow="0" w:firstColumn="1" w:lastColumn="0" w:noHBand="0" w:noVBand="1"/>
      </w:tblPr>
      <w:tblGrid>
        <w:gridCol w:w="14283"/>
      </w:tblGrid>
      <w:tr w:rsidR="005201CE" w:rsidTr="00352EC3">
        <w:tc>
          <w:tcPr>
            <w:tcW w:w="14283" w:type="dxa"/>
            <w:tcBorders>
              <w:bottom w:val="single" w:sz="4" w:space="0" w:color="auto"/>
            </w:tcBorders>
            <w:shd w:val="clear" w:color="auto" w:fill="BFB97F"/>
          </w:tcPr>
          <w:p w:rsidR="005201CE" w:rsidRPr="005201CE" w:rsidRDefault="005201CE" w:rsidP="001D36C1">
            <w:r w:rsidRPr="00041F9D">
              <w:rPr>
                <w:b/>
              </w:rPr>
              <w:t xml:space="preserve">Standard </w:t>
            </w:r>
            <w:r>
              <w:rPr>
                <w:b/>
              </w:rPr>
              <w:t>1</w:t>
            </w:r>
            <w:r w:rsidRPr="00041F9D">
              <w:rPr>
                <w:b/>
              </w:rPr>
              <w:t xml:space="preserve">.0 </w:t>
            </w:r>
          </w:p>
          <w:p w:rsidR="005201CE" w:rsidRPr="00041F9D" w:rsidRDefault="005201CE" w:rsidP="001D36C1">
            <w:pPr>
              <w:rPr>
                <w:b/>
              </w:rPr>
            </w:pPr>
            <w:r w:rsidRPr="00041F9D">
              <w:t xml:space="preserve">The </w:t>
            </w:r>
            <w:r>
              <w:t xml:space="preserve">CCDM </w:t>
            </w:r>
            <w:r w:rsidRPr="00041F9D">
              <w:t>governance councils (</w:t>
            </w:r>
            <w:r>
              <w:t>organisation and ward/unit</w:t>
            </w:r>
            <w:r w:rsidRPr="00041F9D">
              <w:t>) ensure that care capacity demand management is planned, coordinated and appropriate for staff and patients.</w:t>
            </w:r>
          </w:p>
        </w:tc>
      </w:tr>
      <w:tr w:rsidR="005201CE" w:rsidRPr="005201CE" w:rsidTr="00352EC3">
        <w:tc>
          <w:tcPr>
            <w:tcW w:w="1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01CE" w:rsidRPr="005201CE" w:rsidRDefault="005201CE" w:rsidP="001D36C1">
            <w:pPr>
              <w:rPr>
                <w:b/>
                <w:sz w:val="12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4"/>
        <w:gridCol w:w="9168"/>
      </w:tblGrid>
      <w:tr w:rsidR="005201CE" w:rsidTr="00352EC3">
        <w:trPr>
          <w:trHeight w:val="243"/>
          <w:tblHeader/>
        </w:trPr>
        <w:tc>
          <w:tcPr>
            <w:tcW w:w="5144" w:type="dxa"/>
            <w:shd w:val="clear" w:color="auto" w:fill="BFB97F"/>
          </w:tcPr>
          <w:p w:rsidR="005201CE" w:rsidRPr="00041F9D" w:rsidRDefault="005201CE" w:rsidP="001D36C1">
            <w:pPr>
              <w:spacing w:after="200"/>
              <w:rPr>
                <w:b/>
                <w:szCs w:val="28"/>
              </w:rPr>
            </w:pPr>
            <w:r w:rsidRPr="00041F9D">
              <w:rPr>
                <w:b/>
                <w:szCs w:val="28"/>
              </w:rPr>
              <w:t>Criteria</w:t>
            </w:r>
          </w:p>
        </w:tc>
        <w:tc>
          <w:tcPr>
            <w:tcW w:w="9168" w:type="dxa"/>
            <w:tcBorders>
              <w:bottom w:val="single" w:sz="4" w:space="0" w:color="auto"/>
            </w:tcBorders>
            <w:shd w:val="clear" w:color="auto" w:fill="BFB97F"/>
          </w:tcPr>
          <w:p w:rsidR="005201CE" w:rsidRPr="00041F9D" w:rsidRDefault="005201CE" w:rsidP="007F19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Evidence </w:t>
            </w:r>
            <w:r w:rsidRPr="00600CC8">
              <w:rPr>
                <w:szCs w:val="28"/>
              </w:rPr>
              <w:t>(</w:t>
            </w:r>
            <w:r w:rsidRPr="00600CC8">
              <w:rPr>
                <w:i/>
                <w:szCs w:val="28"/>
              </w:rPr>
              <w:t>use standards guidance</w:t>
            </w:r>
            <w:r w:rsidRPr="00600CC8">
              <w:rPr>
                <w:szCs w:val="28"/>
              </w:rPr>
              <w:t>)</w:t>
            </w:r>
            <w:r>
              <w:rPr>
                <w:szCs w:val="28"/>
              </w:rPr>
              <w:t xml:space="preserve">  expectation is to see evidence at Executive / </w:t>
            </w:r>
            <w:r w:rsidR="007F1935">
              <w:rPr>
                <w:szCs w:val="28"/>
              </w:rPr>
              <w:t>d</w:t>
            </w:r>
            <w:r>
              <w:rPr>
                <w:szCs w:val="28"/>
              </w:rPr>
              <w:t>irectorate</w:t>
            </w:r>
            <w:r w:rsidR="006E6F00">
              <w:rPr>
                <w:szCs w:val="28"/>
              </w:rPr>
              <w:t>/service</w:t>
            </w:r>
            <w:r>
              <w:rPr>
                <w:szCs w:val="28"/>
              </w:rPr>
              <w:t xml:space="preserve"> and </w:t>
            </w:r>
            <w:r w:rsidR="007F1935">
              <w:rPr>
                <w:szCs w:val="28"/>
              </w:rPr>
              <w:t>w</w:t>
            </w:r>
            <w:r>
              <w:rPr>
                <w:szCs w:val="28"/>
              </w:rPr>
              <w:t xml:space="preserve">ard level </w:t>
            </w:r>
          </w:p>
        </w:tc>
      </w:tr>
      <w:tr w:rsidR="005201CE" w:rsidTr="007F1935">
        <w:trPr>
          <w:trHeight w:val="936"/>
        </w:trPr>
        <w:tc>
          <w:tcPr>
            <w:tcW w:w="5144" w:type="dxa"/>
            <w:shd w:val="clear" w:color="auto" w:fill="E6E4CC"/>
          </w:tcPr>
          <w:p w:rsidR="005201CE" w:rsidRPr="0060549B" w:rsidRDefault="005201CE" w:rsidP="00235BBD">
            <w:pPr>
              <w:pStyle w:val="NoSpacing"/>
              <w:numPr>
                <w:ilvl w:val="0"/>
                <w:numId w:val="9"/>
              </w:numPr>
              <w:spacing w:line="276" w:lineRule="auto"/>
              <w:jc w:val="left"/>
            </w:pPr>
            <w:r w:rsidRPr="0060549B">
              <w:t xml:space="preserve">The purpose, values, scope and direction of the organisation’s  CCDM </w:t>
            </w:r>
            <w:r w:rsidR="00235BBD">
              <w:t>c</w:t>
            </w:r>
            <w:r w:rsidRPr="0060549B">
              <w:t xml:space="preserve">ouncil and ward/unit  </w:t>
            </w:r>
            <w:r w:rsidR="00235BBD">
              <w:t>l</w:t>
            </w:r>
            <w:r w:rsidRPr="0060549B">
              <w:t xml:space="preserve">ocal </w:t>
            </w:r>
            <w:r w:rsidR="00235BBD">
              <w:t>d</w:t>
            </w:r>
            <w:r w:rsidRPr="0060549B">
              <w:t xml:space="preserve">ata </w:t>
            </w:r>
            <w:r w:rsidR="00235BBD">
              <w:t>c</w:t>
            </w:r>
            <w:r w:rsidRPr="0060549B">
              <w:t>ouncils is clearly identified and regularly reviewed</w:t>
            </w:r>
          </w:p>
        </w:tc>
        <w:tc>
          <w:tcPr>
            <w:tcW w:w="9168" w:type="dxa"/>
            <w:shd w:val="clear" w:color="auto" w:fill="auto"/>
          </w:tcPr>
          <w:p w:rsidR="005201CE" w:rsidRPr="00600CC8" w:rsidRDefault="005201CE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5201CE" w:rsidTr="007F1935">
        <w:trPr>
          <w:trHeight w:val="826"/>
        </w:trPr>
        <w:tc>
          <w:tcPr>
            <w:tcW w:w="5144" w:type="dxa"/>
            <w:shd w:val="clear" w:color="auto" w:fill="E6E4CC"/>
          </w:tcPr>
          <w:p w:rsidR="005201CE" w:rsidRPr="0060549B" w:rsidRDefault="005201CE" w:rsidP="005201CE">
            <w:pPr>
              <w:pStyle w:val="NoSpacing"/>
              <w:numPr>
                <w:ilvl w:val="0"/>
                <w:numId w:val="9"/>
              </w:numPr>
              <w:spacing w:line="276" w:lineRule="auto"/>
              <w:jc w:val="left"/>
            </w:pPr>
            <w:r w:rsidRPr="0060549B">
              <w:t xml:space="preserve">Permanent governance for CCDM is established for the organisation and for each ward/unit </w:t>
            </w: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:rsidR="005201CE" w:rsidRPr="00600CC8" w:rsidRDefault="005201CE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5201CE" w:rsidTr="007F1935">
        <w:trPr>
          <w:trHeight w:val="1263"/>
        </w:trPr>
        <w:tc>
          <w:tcPr>
            <w:tcW w:w="5144" w:type="dxa"/>
            <w:tcBorders>
              <w:bottom w:val="single" w:sz="4" w:space="0" w:color="auto"/>
            </w:tcBorders>
            <w:shd w:val="clear" w:color="auto" w:fill="E6E4CC"/>
          </w:tcPr>
          <w:p w:rsidR="005201CE" w:rsidRPr="0060549B" w:rsidRDefault="005201CE" w:rsidP="005201CE">
            <w:pPr>
              <w:pStyle w:val="NoSpacing"/>
              <w:numPr>
                <w:ilvl w:val="0"/>
                <w:numId w:val="9"/>
              </w:numPr>
              <w:spacing w:line="276" w:lineRule="auto"/>
              <w:jc w:val="left"/>
            </w:pPr>
            <w:r w:rsidRPr="0060549B">
              <w:t xml:space="preserve">Permanent governance for CCDM is effective and operational for </w:t>
            </w:r>
          </w:p>
          <w:p w:rsidR="005201CE" w:rsidRPr="0060549B" w:rsidRDefault="005201CE" w:rsidP="005201CE">
            <w:pPr>
              <w:pStyle w:val="NoSpacing"/>
              <w:numPr>
                <w:ilvl w:val="1"/>
                <w:numId w:val="9"/>
              </w:numPr>
              <w:spacing w:line="276" w:lineRule="auto"/>
              <w:jc w:val="left"/>
            </w:pPr>
            <w:r w:rsidRPr="0060549B">
              <w:t xml:space="preserve">CCDM </w:t>
            </w:r>
            <w:r w:rsidR="00235BBD">
              <w:t>c</w:t>
            </w:r>
            <w:r w:rsidRPr="0060549B">
              <w:t>ouncil and</w:t>
            </w:r>
          </w:p>
          <w:p w:rsidR="005201CE" w:rsidRPr="00041F9D" w:rsidRDefault="00235BBD" w:rsidP="00235BBD">
            <w:pPr>
              <w:pStyle w:val="NoSpacing"/>
              <w:numPr>
                <w:ilvl w:val="1"/>
                <w:numId w:val="9"/>
              </w:numPr>
              <w:spacing w:line="276" w:lineRule="auto"/>
              <w:jc w:val="left"/>
            </w:pPr>
            <w:r>
              <w:t>l</w:t>
            </w:r>
            <w:r w:rsidR="005201CE" w:rsidRPr="0060549B">
              <w:t xml:space="preserve">ocal </w:t>
            </w:r>
            <w:r>
              <w:t>d</w:t>
            </w:r>
            <w:r w:rsidR="005201CE" w:rsidRPr="0060549B">
              <w:t xml:space="preserve">ata </w:t>
            </w:r>
            <w:r>
              <w:t>c</w:t>
            </w:r>
            <w:r w:rsidR="005201CE" w:rsidRPr="0060549B">
              <w:t>ouncils</w:t>
            </w:r>
          </w:p>
        </w:tc>
        <w:tc>
          <w:tcPr>
            <w:tcW w:w="91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1CE" w:rsidRPr="00600CC8" w:rsidRDefault="005201CE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5201CE" w:rsidTr="007F1935">
        <w:trPr>
          <w:trHeight w:val="281"/>
        </w:trPr>
        <w:tc>
          <w:tcPr>
            <w:tcW w:w="5144" w:type="dxa"/>
            <w:vMerge w:val="restart"/>
            <w:tcBorders>
              <w:bottom w:val="single" w:sz="4" w:space="0" w:color="auto"/>
            </w:tcBorders>
            <w:shd w:val="clear" w:color="auto" w:fill="E6E4CC"/>
          </w:tcPr>
          <w:p w:rsidR="005201CE" w:rsidRPr="00041F9D" w:rsidRDefault="005201CE" w:rsidP="00235BBD">
            <w:pPr>
              <w:pStyle w:val="NoSpacing"/>
              <w:numPr>
                <w:ilvl w:val="0"/>
                <w:numId w:val="9"/>
              </w:numPr>
              <w:spacing w:line="276" w:lineRule="auto"/>
              <w:jc w:val="left"/>
            </w:pPr>
            <w:r w:rsidRPr="00041F9D">
              <w:t xml:space="preserve">The </w:t>
            </w:r>
            <w:r w:rsidRPr="0060549B">
              <w:t xml:space="preserve">CCDM </w:t>
            </w:r>
            <w:r w:rsidR="00235BBD">
              <w:t>c</w:t>
            </w:r>
            <w:r w:rsidRPr="0060549B">
              <w:t xml:space="preserve">ouncil and ward/unit </w:t>
            </w:r>
            <w:r w:rsidR="00235BBD">
              <w:t>l</w:t>
            </w:r>
            <w:r w:rsidRPr="0060549B">
              <w:t xml:space="preserve">ocal </w:t>
            </w:r>
            <w:r w:rsidR="00235BBD">
              <w:t>d</w:t>
            </w:r>
            <w:r w:rsidRPr="0060549B">
              <w:t xml:space="preserve">ata </w:t>
            </w:r>
            <w:r w:rsidR="00235BBD">
              <w:t>c</w:t>
            </w:r>
            <w:r w:rsidRPr="0060549B">
              <w:t>ouncils establish</w:t>
            </w:r>
            <w:r>
              <w:t>,</w:t>
            </w:r>
            <w:r w:rsidRPr="0060549B">
              <w:t xml:space="preserve"> monitor and act on CCDM data for continuous</w:t>
            </w:r>
            <w:r w:rsidRPr="00041F9D">
              <w:t xml:space="preserve"> quality improvement.</w:t>
            </w:r>
          </w:p>
        </w:tc>
        <w:tc>
          <w:tcPr>
            <w:tcW w:w="9168" w:type="dxa"/>
            <w:vMerge/>
            <w:tcBorders>
              <w:bottom w:val="nil"/>
            </w:tcBorders>
            <w:shd w:val="clear" w:color="auto" w:fill="auto"/>
          </w:tcPr>
          <w:p w:rsidR="005201CE" w:rsidRPr="00600CC8" w:rsidRDefault="005201CE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5201CE" w:rsidTr="00352EC3">
        <w:trPr>
          <w:trHeight w:val="300"/>
        </w:trPr>
        <w:tc>
          <w:tcPr>
            <w:tcW w:w="5144" w:type="dxa"/>
            <w:vMerge/>
            <w:shd w:val="clear" w:color="auto" w:fill="E6E4CC"/>
          </w:tcPr>
          <w:p w:rsidR="005201CE" w:rsidRPr="00041F9D" w:rsidRDefault="005201CE" w:rsidP="005201CE">
            <w:pPr>
              <w:pStyle w:val="NoSpacing"/>
              <w:numPr>
                <w:ilvl w:val="0"/>
                <w:numId w:val="9"/>
              </w:numPr>
              <w:spacing w:line="276" w:lineRule="auto"/>
              <w:jc w:val="left"/>
            </w:pPr>
          </w:p>
        </w:tc>
        <w:tc>
          <w:tcPr>
            <w:tcW w:w="9168" w:type="dxa"/>
            <w:tcBorders>
              <w:top w:val="nil"/>
            </w:tcBorders>
            <w:shd w:val="clear" w:color="auto" w:fill="auto"/>
          </w:tcPr>
          <w:p w:rsidR="005201CE" w:rsidRDefault="005201CE" w:rsidP="001D36C1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</w:tc>
      </w:tr>
    </w:tbl>
    <w:p w:rsidR="005201CE" w:rsidRDefault="005201CE" w:rsidP="00520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260"/>
        <w:gridCol w:w="3402"/>
      </w:tblGrid>
      <w:tr w:rsidR="005201CE" w:rsidTr="00352EC3">
        <w:tc>
          <w:tcPr>
            <w:tcW w:w="14283" w:type="dxa"/>
            <w:gridSpan w:val="4"/>
            <w:shd w:val="clear" w:color="auto" w:fill="BFB97F"/>
          </w:tcPr>
          <w:p w:rsidR="005201CE" w:rsidRPr="002112FE" w:rsidRDefault="005201CE" w:rsidP="001D36C1">
            <w:pPr>
              <w:pStyle w:val="NoSpacing"/>
              <w:spacing w:before="60" w:after="60"/>
              <w:rPr>
                <w:b/>
              </w:rPr>
            </w:pPr>
            <w:r w:rsidRPr="002112FE">
              <w:rPr>
                <w:b/>
              </w:rPr>
              <w:t xml:space="preserve">Standard overall attainment </w:t>
            </w:r>
          </w:p>
        </w:tc>
      </w:tr>
      <w:tr w:rsidR="005201CE" w:rsidTr="001D36C1">
        <w:tc>
          <w:tcPr>
            <w:tcW w:w="3510" w:type="dxa"/>
            <w:shd w:val="clear" w:color="auto" w:fill="auto"/>
          </w:tcPr>
          <w:p w:rsidR="005201CE" w:rsidRDefault="00961F09" w:rsidP="001D36C1">
            <w:pPr>
              <w:pStyle w:val="NoSpacing"/>
              <w:spacing w:before="60" w:after="60"/>
            </w:pPr>
            <w:sdt>
              <w:sdtPr>
                <w:id w:val="7449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C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201CE">
              <w:t xml:space="preserve"> NA – Not attained</w:t>
            </w:r>
          </w:p>
        </w:tc>
        <w:tc>
          <w:tcPr>
            <w:tcW w:w="4111" w:type="dxa"/>
            <w:shd w:val="clear" w:color="auto" w:fill="auto"/>
          </w:tcPr>
          <w:p w:rsidR="005201CE" w:rsidRDefault="00961F09" w:rsidP="001D36C1">
            <w:pPr>
              <w:pStyle w:val="NoSpacing"/>
              <w:spacing w:before="60" w:after="60"/>
            </w:pPr>
            <w:sdt>
              <w:sdtPr>
                <w:id w:val="-18232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1CE">
              <w:t xml:space="preserve"> PA – Partially attained </w:t>
            </w:r>
          </w:p>
        </w:tc>
        <w:tc>
          <w:tcPr>
            <w:tcW w:w="3260" w:type="dxa"/>
            <w:shd w:val="clear" w:color="auto" w:fill="auto"/>
          </w:tcPr>
          <w:p w:rsidR="005201CE" w:rsidRDefault="00961F09" w:rsidP="001D36C1">
            <w:pPr>
              <w:pStyle w:val="NoSpacing"/>
              <w:spacing w:before="60" w:after="60"/>
            </w:pPr>
            <w:sdt>
              <w:sdtPr>
                <w:id w:val="11399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1CE">
              <w:t xml:space="preserve"> FA – Fully attained</w:t>
            </w:r>
          </w:p>
        </w:tc>
        <w:tc>
          <w:tcPr>
            <w:tcW w:w="3402" w:type="dxa"/>
            <w:shd w:val="clear" w:color="auto" w:fill="auto"/>
          </w:tcPr>
          <w:p w:rsidR="005201CE" w:rsidRDefault="00961F09" w:rsidP="008F1BD0">
            <w:pPr>
              <w:pStyle w:val="NoSpacing"/>
              <w:spacing w:before="60" w:after="60"/>
            </w:pPr>
            <w:sdt>
              <w:sdtPr>
                <w:id w:val="6475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1CE">
              <w:t xml:space="preserve"> CI – Continuous </w:t>
            </w:r>
            <w:r w:rsidR="008F1BD0">
              <w:t>im</w:t>
            </w:r>
            <w:r w:rsidR="005201CE">
              <w:t xml:space="preserve">provement </w:t>
            </w:r>
          </w:p>
        </w:tc>
      </w:tr>
    </w:tbl>
    <w:p w:rsidR="005201CE" w:rsidRDefault="005201CE" w:rsidP="005201C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5201CE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5201CE" w:rsidRPr="00FD4CAC" w:rsidRDefault="005201CE" w:rsidP="008F1BD0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 xml:space="preserve">Areas of </w:t>
            </w:r>
            <w:r w:rsidR="008F1BD0" w:rsidRPr="008F1BD0">
              <w:rPr>
                <w:rStyle w:val="Heading3Char"/>
              </w:rPr>
              <w:t>c</w:t>
            </w:r>
            <w:r w:rsidRPr="008F1BD0">
              <w:rPr>
                <w:rStyle w:val="Heading3Char"/>
              </w:rPr>
              <w:t>ommendation: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indicators of success</w:t>
            </w:r>
          </w:p>
        </w:tc>
      </w:tr>
      <w:tr w:rsidR="005201CE" w:rsidTr="001D36C1">
        <w:tc>
          <w:tcPr>
            <w:tcW w:w="14338" w:type="dxa"/>
            <w:tcBorders>
              <w:left w:val="nil"/>
              <w:right w:val="nil"/>
            </w:tcBorders>
          </w:tcPr>
          <w:p w:rsidR="005201CE" w:rsidRPr="00FD4CAC" w:rsidRDefault="005201CE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>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</w:tc>
      </w:tr>
    </w:tbl>
    <w:p w:rsidR="005201CE" w:rsidRPr="007F21EC" w:rsidRDefault="005201CE" w:rsidP="008F1BD0">
      <w:pPr>
        <w:pStyle w:val="Heading2"/>
      </w:pPr>
      <w:r>
        <w:br w:type="page"/>
      </w:r>
      <w:r w:rsidRPr="007F21EC">
        <w:lastRenderedPageBreak/>
        <w:t xml:space="preserve">Standard 2.0 – Validated </w:t>
      </w:r>
      <w:r w:rsidR="00961F09">
        <w:t>p</w:t>
      </w:r>
      <w:r w:rsidRPr="007F21EC">
        <w:t xml:space="preserve">atient </w:t>
      </w:r>
      <w:r w:rsidR="00961F09">
        <w:t>a</w:t>
      </w:r>
      <w:r w:rsidRPr="007F21EC">
        <w:t xml:space="preserve">cuity </w:t>
      </w:r>
      <w:r w:rsidR="00961F09">
        <w:t>t</w:t>
      </w:r>
      <w:r w:rsidRPr="007F21EC">
        <w:t>ool</w:t>
      </w:r>
    </w:p>
    <w:tbl>
      <w:tblPr>
        <w:tblStyle w:val="TableGrid"/>
        <w:tblW w:w="5000" w:type="pct"/>
        <w:shd w:val="clear" w:color="auto" w:fill="BFB97F"/>
        <w:tblLook w:val="04A0" w:firstRow="1" w:lastRow="0" w:firstColumn="1" w:lastColumn="0" w:noHBand="0" w:noVBand="1"/>
      </w:tblPr>
      <w:tblGrid>
        <w:gridCol w:w="14702"/>
      </w:tblGrid>
      <w:tr w:rsidR="005201CE" w:rsidTr="00352EC3">
        <w:tc>
          <w:tcPr>
            <w:tcW w:w="5000" w:type="pct"/>
            <w:shd w:val="clear" w:color="auto" w:fill="BFB97F"/>
          </w:tcPr>
          <w:p w:rsidR="005201CE" w:rsidRPr="00041F9D" w:rsidRDefault="005201CE" w:rsidP="001D36C1">
            <w:pPr>
              <w:rPr>
                <w:b/>
              </w:rPr>
            </w:pPr>
            <w:r>
              <w:rPr>
                <w:b/>
              </w:rPr>
              <w:t>Standard 2</w:t>
            </w:r>
            <w:r w:rsidRPr="00041F9D">
              <w:rPr>
                <w:b/>
              </w:rPr>
              <w:t xml:space="preserve">.0 </w:t>
            </w:r>
          </w:p>
          <w:p w:rsidR="005201CE" w:rsidRPr="0044173E" w:rsidRDefault="005201CE" w:rsidP="001D36C1">
            <w:r w:rsidRPr="00041F9D">
              <w:t>The validated patient acuity tool underpins care capacity demand m</w:t>
            </w:r>
            <w:r>
              <w:t>anagement for service delivery.</w:t>
            </w:r>
          </w:p>
        </w:tc>
      </w:tr>
    </w:tbl>
    <w:p w:rsidR="005201CE" w:rsidRDefault="005201CE" w:rsidP="005201CE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3"/>
        <w:gridCol w:w="9359"/>
      </w:tblGrid>
      <w:tr w:rsidR="00933007" w:rsidTr="00352EC3">
        <w:trPr>
          <w:trHeight w:val="271"/>
          <w:tblHeader/>
        </w:trPr>
        <w:tc>
          <w:tcPr>
            <w:tcW w:w="1817" w:type="pct"/>
            <w:shd w:val="clear" w:color="auto" w:fill="BFB97F"/>
          </w:tcPr>
          <w:p w:rsidR="00933007" w:rsidRPr="00041F9D" w:rsidRDefault="00933007" w:rsidP="001D36C1">
            <w:pPr>
              <w:spacing w:after="200"/>
              <w:rPr>
                <w:b/>
                <w:szCs w:val="28"/>
              </w:rPr>
            </w:pPr>
            <w:r w:rsidRPr="00041F9D">
              <w:rPr>
                <w:b/>
                <w:szCs w:val="28"/>
              </w:rPr>
              <w:t>Criteria</w:t>
            </w:r>
          </w:p>
        </w:tc>
        <w:tc>
          <w:tcPr>
            <w:tcW w:w="3183" w:type="pct"/>
            <w:tcBorders>
              <w:bottom w:val="single" w:sz="4" w:space="0" w:color="auto"/>
            </w:tcBorders>
            <w:shd w:val="clear" w:color="auto" w:fill="BFB97F"/>
          </w:tcPr>
          <w:p w:rsidR="00933007" w:rsidRPr="00041F9D" w:rsidRDefault="00933007" w:rsidP="007F19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Evidence </w:t>
            </w:r>
            <w:r w:rsidRPr="00600CC8">
              <w:rPr>
                <w:szCs w:val="28"/>
              </w:rPr>
              <w:t>(</w:t>
            </w:r>
            <w:r w:rsidRPr="00600CC8">
              <w:rPr>
                <w:i/>
                <w:szCs w:val="28"/>
              </w:rPr>
              <w:t>use standards guidance</w:t>
            </w:r>
            <w:r w:rsidRPr="00600CC8">
              <w:rPr>
                <w:szCs w:val="28"/>
              </w:rPr>
              <w:t>)</w:t>
            </w:r>
            <w:r>
              <w:rPr>
                <w:szCs w:val="28"/>
              </w:rPr>
              <w:t xml:space="preserve"> expectation is to see evidence at Executive / </w:t>
            </w:r>
            <w:r w:rsidR="007F1935">
              <w:rPr>
                <w:szCs w:val="28"/>
              </w:rPr>
              <w:t>d</w:t>
            </w:r>
            <w:r>
              <w:rPr>
                <w:szCs w:val="28"/>
              </w:rPr>
              <w:t>irectorate</w:t>
            </w:r>
            <w:r w:rsidR="006E6F00">
              <w:rPr>
                <w:szCs w:val="28"/>
              </w:rPr>
              <w:t xml:space="preserve">/service </w:t>
            </w:r>
            <w:r>
              <w:rPr>
                <w:szCs w:val="28"/>
              </w:rPr>
              <w:t xml:space="preserve"> and </w:t>
            </w:r>
            <w:r w:rsidR="007F1935">
              <w:rPr>
                <w:szCs w:val="28"/>
              </w:rPr>
              <w:t>w</w:t>
            </w:r>
            <w:r>
              <w:rPr>
                <w:szCs w:val="28"/>
              </w:rPr>
              <w:t>ard level</w:t>
            </w:r>
          </w:p>
        </w:tc>
      </w:tr>
      <w:tr w:rsidR="00933007" w:rsidTr="007F1935">
        <w:trPr>
          <w:trHeight w:val="860"/>
        </w:trPr>
        <w:tc>
          <w:tcPr>
            <w:tcW w:w="1817" w:type="pct"/>
            <w:shd w:val="clear" w:color="auto" w:fill="E6E4CC"/>
          </w:tcPr>
          <w:p w:rsidR="00933007" w:rsidRPr="00041F9D" w:rsidRDefault="00933007" w:rsidP="00933007">
            <w:pPr>
              <w:pStyle w:val="NoSpacing"/>
              <w:numPr>
                <w:ilvl w:val="0"/>
                <w:numId w:val="10"/>
              </w:numPr>
              <w:spacing w:line="276" w:lineRule="auto"/>
              <w:jc w:val="left"/>
            </w:pPr>
            <w:r w:rsidRPr="00041F9D">
              <w:t xml:space="preserve">There is a Validated Patient Acuity Committee that </w:t>
            </w:r>
            <w:r>
              <w:t xml:space="preserve">is </w:t>
            </w:r>
            <w:r w:rsidRPr="00041F9D">
              <w:t>effective and operational</w:t>
            </w:r>
            <w:r>
              <w:t>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7F1935">
        <w:trPr>
          <w:trHeight w:val="756"/>
        </w:trPr>
        <w:tc>
          <w:tcPr>
            <w:tcW w:w="1817" w:type="pct"/>
            <w:shd w:val="clear" w:color="auto" w:fill="E6E4CC"/>
          </w:tcPr>
          <w:p w:rsidR="00933007" w:rsidRPr="0041514F" w:rsidRDefault="00933007" w:rsidP="00933007">
            <w:pPr>
              <w:pStyle w:val="NoSpacing"/>
              <w:numPr>
                <w:ilvl w:val="0"/>
                <w:numId w:val="10"/>
              </w:numPr>
              <w:spacing w:line="276" w:lineRule="auto"/>
              <w:jc w:val="left"/>
            </w:pPr>
            <w:r w:rsidRPr="0041514F">
              <w:t xml:space="preserve">There is dedicated coordinator </w:t>
            </w:r>
            <w:r>
              <w:t>FTE</w:t>
            </w:r>
            <w:r w:rsidRPr="0041514F">
              <w:t xml:space="preserve"> for managing the validated patient acuity system.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789"/>
        </w:trPr>
        <w:tc>
          <w:tcPr>
            <w:tcW w:w="1817" w:type="pct"/>
            <w:shd w:val="clear" w:color="auto" w:fill="E6E4CC"/>
          </w:tcPr>
          <w:p w:rsidR="00933007" w:rsidRPr="00041F9D" w:rsidRDefault="00933007" w:rsidP="00933007">
            <w:pPr>
              <w:pStyle w:val="NoSpacing"/>
              <w:numPr>
                <w:ilvl w:val="0"/>
                <w:numId w:val="10"/>
              </w:numPr>
              <w:spacing w:line="276" w:lineRule="auto"/>
              <w:jc w:val="left"/>
            </w:pPr>
            <w:r>
              <w:t>The patient acuity system is supported and prioritised as a critical ‘service delivery’ IT system</w:t>
            </w:r>
            <w:r w:rsidRPr="00041F9D">
              <w:t>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7F1935">
        <w:trPr>
          <w:trHeight w:val="755"/>
        </w:trPr>
        <w:tc>
          <w:tcPr>
            <w:tcW w:w="1817" w:type="pct"/>
            <w:shd w:val="clear" w:color="auto" w:fill="E6E4CC"/>
          </w:tcPr>
          <w:p w:rsidR="00933007" w:rsidRPr="00041F9D" w:rsidRDefault="00933007" w:rsidP="00933007">
            <w:pPr>
              <w:pStyle w:val="NoSpacing"/>
              <w:numPr>
                <w:ilvl w:val="0"/>
                <w:numId w:val="10"/>
              </w:numPr>
              <w:spacing w:line="276" w:lineRule="auto"/>
              <w:jc w:val="left"/>
            </w:pPr>
            <w:r>
              <w:t>There are processes in place to ensure the validated patient acuity system is used accurately and consistently.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7F1935">
        <w:trPr>
          <w:trHeight w:val="682"/>
        </w:trPr>
        <w:tc>
          <w:tcPr>
            <w:tcW w:w="1817" w:type="pct"/>
            <w:shd w:val="clear" w:color="auto" w:fill="E6E4CC"/>
          </w:tcPr>
          <w:p w:rsidR="00933007" w:rsidRPr="00041F9D" w:rsidRDefault="00933007" w:rsidP="00933007">
            <w:pPr>
              <w:pStyle w:val="NoSpacing"/>
              <w:numPr>
                <w:ilvl w:val="0"/>
                <w:numId w:val="10"/>
              </w:numPr>
              <w:spacing w:line="276" w:lineRule="auto"/>
              <w:jc w:val="left"/>
            </w:pPr>
            <w:r w:rsidRPr="00041F9D">
              <w:t>Business Rules are clearly defined and in use</w:t>
            </w:r>
            <w:r>
              <w:t xml:space="preserve"> to ensure consistent use of the system</w:t>
            </w:r>
            <w:r w:rsidRPr="00041F9D">
              <w:t>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7F1935">
        <w:trPr>
          <w:trHeight w:val="848"/>
        </w:trPr>
        <w:tc>
          <w:tcPr>
            <w:tcW w:w="1817" w:type="pct"/>
            <w:shd w:val="clear" w:color="auto" w:fill="E6E4CC"/>
          </w:tcPr>
          <w:p w:rsidR="00933007" w:rsidRPr="00041F9D" w:rsidRDefault="00933007" w:rsidP="00933007">
            <w:pPr>
              <w:pStyle w:val="NoSpacing"/>
              <w:numPr>
                <w:ilvl w:val="1"/>
                <w:numId w:val="11"/>
              </w:numPr>
              <w:spacing w:line="276" w:lineRule="auto"/>
              <w:ind w:left="426" w:hanging="426"/>
              <w:jc w:val="left"/>
            </w:pPr>
            <w:r w:rsidRPr="00041F9D">
              <w:t xml:space="preserve">Validated </w:t>
            </w:r>
            <w:r>
              <w:t>patient acuity</w:t>
            </w:r>
            <w:r w:rsidRPr="00041F9D">
              <w:t xml:space="preserve"> data is utilised in daily operational and annual planning activities.</w:t>
            </w:r>
          </w:p>
        </w:tc>
        <w:tc>
          <w:tcPr>
            <w:tcW w:w="3183" w:type="pct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</w:tbl>
    <w:p w:rsidR="00933007" w:rsidRDefault="00933007" w:rsidP="005201CE">
      <w:pPr>
        <w:pStyle w:val="NoSpacing"/>
      </w:pPr>
    </w:p>
    <w:p w:rsidR="00933007" w:rsidRDefault="00933007" w:rsidP="00933007"/>
    <w:p w:rsidR="007F1935" w:rsidRDefault="007F1935" w:rsidP="00933007"/>
    <w:p w:rsidR="007F1935" w:rsidRDefault="007F1935" w:rsidP="00933007"/>
    <w:p w:rsidR="007F1935" w:rsidRDefault="007F1935" w:rsidP="00933007"/>
    <w:p w:rsidR="007F1935" w:rsidRDefault="007F1935" w:rsidP="00933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260"/>
        <w:gridCol w:w="3402"/>
      </w:tblGrid>
      <w:tr w:rsidR="00933007" w:rsidTr="00352EC3">
        <w:tc>
          <w:tcPr>
            <w:tcW w:w="14283" w:type="dxa"/>
            <w:gridSpan w:val="4"/>
            <w:shd w:val="clear" w:color="auto" w:fill="BFB97F"/>
          </w:tcPr>
          <w:p w:rsidR="00933007" w:rsidRPr="002112FE" w:rsidRDefault="00933007" w:rsidP="001D36C1">
            <w:pPr>
              <w:pStyle w:val="NoSpacing"/>
              <w:spacing w:before="60" w:after="60"/>
              <w:rPr>
                <w:b/>
              </w:rPr>
            </w:pPr>
            <w:r w:rsidRPr="002112FE">
              <w:rPr>
                <w:b/>
              </w:rPr>
              <w:lastRenderedPageBreak/>
              <w:t xml:space="preserve">Standard overall attainment </w:t>
            </w:r>
          </w:p>
        </w:tc>
      </w:tr>
      <w:tr w:rsidR="00933007" w:rsidTr="001D36C1">
        <w:tc>
          <w:tcPr>
            <w:tcW w:w="351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7734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33007">
              <w:t xml:space="preserve"> NA – Not attained</w:t>
            </w:r>
          </w:p>
        </w:tc>
        <w:tc>
          <w:tcPr>
            <w:tcW w:w="4111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5613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PA – Partially attained </w:t>
            </w:r>
          </w:p>
        </w:tc>
        <w:tc>
          <w:tcPr>
            <w:tcW w:w="326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732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FA – Fully attained</w:t>
            </w:r>
          </w:p>
        </w:tc>
        <w:tc>
          <w:tcPr>
            <w:tcW w:w="3402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2950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BD0">
              <w:t xml:space="preserve"> CI – Continuous i</w:t>
            </w:r>
            <w:r w:rsidR="00933007">
              <w:t xml:space="preserve">mprovement </w:t>
            </w:r>
          </w:p>
        </w:tc>
      </w:tr>
    </w:tbl>
    <w:p w:rsidR="00933007" w:rsidRDefault="00933007" w:rsidP="0093300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933007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933007" w:rsidRPr="00FD4CAC" w:rsidRDefault="00933007" w:rsidP="008F1BD0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 xml:space="preserve">Areas of </w:t>
            </w:r>
            <w:r w:rsidR="008F1BD0" w:rsidRPr="008F1BD0">
              <w:rPr>
                <w:rStyle w:val="Heading3Char"/>
              </w:rPr>
              <w:t>c</w:t>
            </w:r>
            <w:r w:rsidRPr="008F1BD0">
              <w:rPr>
                <w:rStyle w:val="Heading3Char"/>
              </w:rPr>
              <w:t>ommendation: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indicators of success</w:t>
            </w:r>
          </w:p>
        </w:tc>
      </w:tr>
      <w:tr w:rsidR="00933007" w:rsidTr="001D36C1">
        <w:tc>
          <w:tcPr>
            <w:tcW w:w="14338" w:type="dxa"/>
            <w:tcBorders>
              <w:left w:val="nil"/>
              <w:right w:val="nil"/>
            </w:tcBorders>
          </w:tcPr>
          <w:p w:rsidR="00933007" w:rsidRPr="00FD4CAC" w:rsidRDefault="00933007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>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</w:tc>
      </w:tr>
    </w:tbl>
    <w:p w:rsidR="00933007" w:rsidRDefault="00933007" w:rsidP="00933007"/>
    <w:p w:rsidR="00933007" w:rsidRDefault="00933007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</w:rPr>
      </w:pPr>
      <w:r>
        <w:br w:type="page"/>
      </w:r>
    </w:p>
    <w:p w:rsidR="00933007" w:rsidRPr="00CE738B" w:rsidRDefault="00933007" w:rsidP="008F1BD0">
      <w:pPr>
        <w:pStyle w:val="Heading2"/>
      </w:pPr>
      <w:r>
        <w:lastRenderedPageBreak/>
        <w:t>Standard 3</w:t>
      </w:r>
      <w:r w:rsidR="00961F09">
        <w:t>.0</w:t>
      </w:r>
      <w:r>
        <w:t xml:space="preserve"> – Core </w:t>
      </w:r>
      <w:r w:rsidR="008F1BD0">
        <w:t>d</w:t>
      </w:r>
      <w:r>
        <w:t xml:space="preserve">ata </w:t>
      </w:r>
      <w:r w:rsidR="008F1BD0">
        <w:t>s</w:t>
      </w:r>
      <w:r>
        <w:t xml:space="preserve">et </w:t>
      </w:r>
    </w:p>
    <w:tbl>
      <w:tblPr>
        <w:tblStyle w:val="TableGrid"/>
        <w:tblW w:w="0" w:type="auto"/>
        <w:shd w:val="clear" w:color="auto" w:fill="BFB97F"/>
        <w:tblLook w:val="04A0" w:firstRow="1" w:lastRow="0" w:firstColumn="1" w:lastColumn="0" w:noHBand="0" w:noVBand="1"/>
      </w:tblPr>
      <w:tblGrid>
        <w:gridCol w:w="14174"/>
      </w:tblGrid>
      <w:tr w:rsidR="00933007" w:rsidTr="00352EC3">
        <w:trPr>
          <w:tblHeader/>
        </w:trPr>
        <w:tc>
          <w:tcPr>
            <w:tcW w:w="14174" w:type="dxa"/>
            <w:shd w:val="clear" w:color="auto" w:fill="BFB97F"/>
          </w:tcPr>
          <w:p w:rsidR="00933007" w:rsidRDefault="00933007" w:rsidP="001D36C1">
            <w:pPr>
              <w:pStyle w:val="NoSpacing"/>
              <w:rPr>
                <w:b/>
                <w:sz w:val="22"/>
              </w:rPr>
            </w:pPr>
            <w:r w:rsidRPr="00933007">
              <w:rPr>
                <w:b/>
                <w:sz w:val="22"/>
              </w:rPr>
              <w:t>Standard 3.0</w:t>
            </w:r>
          </w:p>
          <w:p w:rsidR="00352EC3" w:rsidRPr="00352EC3" w:rsidRDefault="00352EC3" w:rsidP="00352EC3">
            <w:pPr>
              <w:pStyle w:val="NoSpacing"/>
            </w:pPr>
          </w:p>
          <w:p w:rsidR="00933007" w:rsidRPr="00933007" w:rsidRDefault="00933007" w:rsidP="001D36C1">
            <w:pPr>
              <w:pStyle w:val="NoSpacing"/>
              <w:rPr>
                <w:sz w:val="22"/>
              </w:rPr>
            </w:pPr>
            <w:r w:rsidRPr="00933007">
              <w:rPr>
                <w:sz w:val="22"/>
              </w:rPr>
              <w:t>The organisation uses a balanced set of CCDM measures (</w:t>
            </w:r>
            <w:r w:rsidR="007F1935">
              <w:rPr>
                <w:sz w:val="22"/>
              </w:rPr>
              <w:t>c</w:t>
            </w:r>
            <w:r w:rsidRPr="00933007">
              <w:rPr>
                <w:sz w:val="22"/>
              </w:rPr>
              <w:t xml:space="preserve">ore </w:t>
            </w:r>
            <w:r w:rsidR="007F1935">
              <w:rPr>
                <w:sz w:val="22"/>
              </w:rPr>
              <w:t>d</w:t>
            </w:r>
            <w:r w:rsidRPr="00933007">
              <w:rPr>
                <w:sz w:val="22"/>
              </w:rPr>
              <w:t xml:space="preserve">ata </w:t>
            </w:r>
            <w:r w:rsidR="007F1935">
              <w:rPr>
                <w:sz w:val="22"/>
              </w:rPr>
              <w:t>s</w:t>
            </w:r>
            <w:r w:rsidRPr="00933007">
              <w:rPr>
                <w:sz w:val="22"/>
              </w:rPr>
              <w:t>et) to evaluate the effectiveness of care capacity and demand management over</w:t>
            </w:r>
            <w:r w:rsidR="006E6F00">
              <w:rPr>
                <w:sz w:val="22"/>
              </w:rPr>
              <w:t xml:space="preserve"> </w:t>
            </w:r>
            <w:r w:rsidRPr="00933007">
              <w:rPr>
                <w:sz w:val="22"/>
              </w:rPr>
              <w:t>time and to make improvements.</w:t>
            </w:r>
          </w:p>
          <w:p w:rsidR="00933007" w:rsidRPr="00933007" w:rsidRDefault="00933007" w:rsidP="001D36C1">
            <w:pPr>
              <w:pStyle w:val="NoSpacing"/>
              <w:rPr>
                <w:b/>
                <w:sz w:val="22"/>
              </w:rPr>
            </w:pPr>
          </w:p>
        </w:tc>
      </w:tr>
    </w:tbl>
    <w:p w:rsidR="00933007" w:rsidRDefault="00933007" w:rsidP="009330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931"/>
      </w:tblGrid>
      <w:tr w:rsidR="00933007" w:rsidTr="00352EC3">
        <w:tc>
          <w:tcPr>
            <w:tcW w:w="5211" w:type="dxa"/>
            <w:shd w:val="clear" w:color="auto" w:fill="BFB97F"/>
          </w:tcPr>
          <w:p w:rsidR="00933007" w:rsidRPr="005B0CC3" w:rsidRDefault="00933007" w:rsidP="001D36C1">
            <w:pPr>
              <w:rPr>
                <w:b/>
                <w:szCs w:val="28"/>
              </w:rPr>
            </w:pPr>
            <w:r w:rsidRPr="005B0CC3">
              <w:rPr>
                <w:b/>
                <w:szCs w:val="28"/>
              </w:rPr>
              <w:t>Criteria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BFB97F"/>
          </w:tcPr>
          <w:p w:rsidR="00933007" w:rsidRPr="005B0CC3" w:rsidRDefault="00933007" w:rsidP="007F193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Evidence </w:t>
            </w:r>
            <w:r w:rsidRPr="00600CC8">
              <w:rPr>
                <w:szCs w:val="28"/>
              </w:rPr>
              <w:t>(</w:t>
            </w:r>
            <w:r w:rsidRPr="00600CC8">
              <w:rPr>
                <w:i/>
                <w:szCs w:val="28"/>
              </w:rPr>
              <w:t>use standards guidance</w:t>
            </w:r>
            <w:r w:rsidRPr="00600CC8">
              <w:rPr>
                <w:szCs w:val="28"/>
              </w:rPr>
              <w:t>)</w:t>
            </w:r>
            <w:r>
              <w:rPr>
                <w:szCs w:val="28"/>
              </w:rPr>
              <w:t xml:space="preserve"> expectation is to see evidence at Executive / </w:t>
            </w:r>
            <w:r w:rsidR="007F1935">
              <w:rPr>
                <w:szCs w:val="28"/>
              </w:rPr>
              <w:t>d</w:t>
            </w:r>
            <w:r>
              <w:rPr>
                <w:szCs w:val="28"/>
              </w:rPr>
              <w:t>irectorate</w:t>
            </w:r>
            <w:r w:rsidR="006E6F00">
              <w:rPr>
                <w:szCs w:val="28"/>
              </w:rPr>
              <w:t>/service</w:t>
            </w:r>
            <w:r>
              <w:rPr>
                <w:szCs w:val="28"/>
              </w:rPr>
              <w:t xml:space="preserve"> and </w:t>
            </w:r>
            <w:r w:rsidR="007F1935">
              <w:rPr>
                <w:szCs w:val="28"/>
              </w:rPr>
              <w:t>w</w:t>
            </w:r>
            <w:r>
              <w:rPr>
                <w:szCs w:val="28"/>
              </w:rPr>
              <w:t>ard level</w:t>
            </w:r>
          </w:p>
        </w:tc>
      </w:tr>
      <w:tr w:rsidR="00933007" w:rsidTr="00961F09">
        <w:trPr>
          <w:trHeight w:val="906"/>
        </w:trPr>
        <w:tc>
          <w:tcPr>
            <w:tcW w:w="5211" w:type="dxa"/>
            <w:shd w:val="clear" w:color="auto" w:fill="E6E4CC"/>
          </w:tcPr>
          <w:p w:rsidR="00933007" w:rsidRPr="001B11E8" w:rsidRDefault="00933007" w:rsidP="00235BBD">
            <w:pPr>
              <w:pStyle w:val="NoSpacing"/>
              <w:numPr>
                <w:ilvl w:val="0"/>
                <w:numId w:val="12"/>
              </w:numPr>
              <w:spacing w:line="276" w:lineRule="auto"/>
              <w:jc w:val="left"/>
            </w:pPr>
            <w:r w:rsidRPr="001B11E8">
              <w:t xml:space="preserve">The </w:t>
            </w:r>
            <w:r w:rsidR="00235BBD">
              <w:t>c</w:t>
            </w:r>
            <w:r w:rsidRPr="001B11E8">
              <w:t>ouncil has the authority, accountability and responsibility for setting</w:t>
            </w:r>
            <w:r>
              <w:t>, implementing</w:t>
            </w:r>
            <w:r w:rsidRPr="001B11E8">
              <w:t xml:space="preserve"> and monitoring the </w:t>
            </w:r>
            <w:r>
              <w:t>Core Data Set</w:t>
            </w:r>
            <w:r w:rsidRPr="001B11E8">
              <w:t>.</w:t>
            </w:r>
          </w:p>
        </w:tc>
        <w:tc>
          <w:tcPr>
            <w:tcW w:w="8931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961F09">
        <w:trPr>
          <w:trHeight w:val="906"/>
        </w:trPr>
        <w:tc>
          <w:tcPr>
            <w:tcW w:w="5211" w:type="dxa"/>
            <w:shd w:val="clear" w:color="auto" w:fill="E6E4CC"/>
          </w:tcPr>
          <w:p w:rsidR="00933007" w:rsidRPr="001B11E8" w:rsidRDefault="00933007" w:rsidP="00933007">
            <w:pPr>
              <w:pStyle w:val="NoSpacing"/>
              <w:numPr>
                <w:ilvl w:val="0"/>
                <w:numId w:val="12"/>
              </w:numPr>
              <w:spacing w:line="276" w:lineRule="auto"/>
              <w:jc w:val="left"/>
            </w:pPr>
            <w:r w:rsidRPr="001B11E8">
              <w:t xml:space="preserve">The </w:t>
            </w:r>
            <w:r>
              <w:t>Core Data Set is used to evaluate the effectiveness of</w:t>
            </w:r>
            <w:r w:rsidRPr="001B11E8">
              <w:t xml:space="preserve"> care capacity demand management</w:t>
            </w:r>
            <w:r>
              <w:t xml:space="preserve"> in the DHB and make improvements</w:t>
            </w:r>
            <w:r w:rsidRPr="001B11E8">
              <w:t>.</w:t>
            </w:r>
          </w:p>
        </w:tc>
        <w:tc>
          <w:tcPr>
            <w:tcW w:w="8931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961F09">
        <w:trPr>
          <w:trHeight w:val="789"/>
        </w:trPr>
        <w:tc>
          <w:tcPr>
            <w:tcW w:w="5211" w:type="dxa"/>
            <w:shd w:val="clear" w:color="auto" w:fill="E6E4CC"/>
          </w:tcPr>
          <w:p w:rsidR="00933007" w:rsidRPr="001B11E8" w:rsidRDefault="00933007" w:rsidP="00933007">
            <w:pPr>
              <w:pStyle w:val="NoSpacing"/>
              <w:numPr>
                <w:ilvl w:val="0"/>
                <w:numId w:val="12"/>
              </w:numPr>
              <w:spacing w:line="276" w:lineRule="auto"/>
              <w:jc w:val="left"/>
            </w:pPr>
            <w:r w:rsidRPr="001B11E8">
              <w:t xml:space="preserve">The </w:t>
            </w:r>
            <w:r>
              <w:t>Core Data Set is</w:t>
            </w:r>
            <w:r w:rsidRPr="001B11E8">
              <w:t xml:space="preserve"> monitored, reported and actioned at ward/unit, directorate and hospital </w:t>
            </w:r>
            <w:r>
              <w:t>wide</w:t>
            </w:r>
            <w:r w:rsidRPr="001B11E8">
              <w:t xml:space="preserve"> level. </w:t>
            </w:r>
          </w:p>
        </w:tc>
        <w:tc>
          <w:tcPr>
            <w:tcW w:w="8931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961F09">
        <w:trPr>
          <w:trHeight w:val="906"/>
        </w:trPr>
        <w:tc>
          <w:tcPr>
            <w:tcW w:w="5211" w:type="dxa"/>
            <w:shd w:val="clear" w:color="auto" w:fill="E6E4CC"/>
          </w:tcPr>
          <w:p w:rsidR="00933007" w:rsidRPr="001B11E8" w:rsidRDefault="00933007" w:rsidP="00933007">
            <w:pPr>
              <w:pStyle w:val="NoSpacing"/>
              <w:numPr>
                <w:ilvl w:val="0"/>
                <w:numId w:val="12"/>
              </w:numPr>
              <w:spacing w:line="276" w:lineRule="auto"/>
              <w:jc w:val="left"/>
            </w:pPr>
            <w:r w:rsidRPr="001B11E8">
              <w:t xml:space="preserve">The organisation </w:t>
            </w:r>
            <w:r>
              <w:t>annually reviews</w:t>
            </w:r>
            <w:r w:rsidRPr="001B11E8">
              <w:t xml:space="preserve"> the relevance, frequency and effectiveness of</w:t>
            </w:r>
            <w:r>
              <w:t xml:space="preserve"> the Core Data Set.</w:t>
            </w:r>
            <w:r w:rsidRPr="001B11E8">
              <w:t xml:space="preserve"> </w:t>
            </w:r>
            <w:r>
              <w:t>Reporting on progress with quality improvement</w:t>
            </w:r>
            <w:r w:rsidRPr="001B11E8">
              <w:t>.</w:t>
            </w:r>
          </w:p>
        </w:tc>
        <w:tc>
          <w:tcPr>
            <w:tcW w:w="8931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</w:tbl>
    <w:p w:rsidR="00933007" w:rsidRDefault="00933007" w:rsidP="00933007">
      <w:pPr>
        <w:pStyle w:val="NoSpacing"/>
      </w:pPr>
    </w:p>
    <w:p w:rsidR="00933007" w:rsidRDefault="00933007" w:rsidP="00933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260"/>
        <w:gridCol w:w="3402"/>
      </w:tblGrid>
      <w:tr w:rsidR="00933007" w:rsidTr="00352EC3">
        <w:tc>
          <w:tcPr>
            <w:tcW w:w="14283" w:type="dxa"/>
            <w:gridSpan w:val="4"/>
            <w:shd w:val="clear" w:color="auto" w:fill="BFB97F"/>
          </w:tcPr>
          <w:p w:rsidR="00933007" w:rsidRPr="002112FE" w:rsidRDefault="00933007" w:rsidP="001D36C1">
            <w:pPr>
              <w:pStyle w:val="NoSpacing"/>
              <w:spacing w:before="60" w:after="60"/>
              <w:rPr>
                <w:b/>
              </w:rPr>
            </w:pPr>
            <w:r w:rsidRPr="002112FE">
              <w:rPr>
                <w:b/>
              </w:rPr>
              <w:t xml:space="preserve">Standard overall attainment </w:t>
            </w:r>
          </w:p>
        </w:tc>
      </w:tr>
      <w:tr w:rsidR="00933007" w:rsidTr="001D36C1">
        <w:tc>
          <w:tcPr>
            <w:tcW w:w="351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5361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33007">
              <w:t xml:space="preserve"> NA – Not attained</w:t>
            </w:r>
          </w:p>
        </w:tc>
        <w:tc>
          <w:tcPr>
            <w:tcW w:w="4111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8965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PA – Partially attained </w:t>
            </w:r>
          </w:p>
        </w:tc>
        <w:tc>
          <w:tcPr>
            <w:tcW w:w="326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5089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FA – Fully attained</w:t>
            </w:r>
          </w:p>
        </w:tc>
        <w:tc>
          <w:tcPr>
            <w:tcW w:w="3402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3861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BD0">
              <w:t xml:space="preserve"> CI – Continuous i</w:t>
            </w:r>
            <w:r w:rsidR="00933007">
              <w:t xml:space="preserve">mprovement </w:t>
            </w:r>
          </w:p>
        </w:tc>
      </w:tr>
    </w:tbl>
    <w:p w:rsidR="00933007" w:rsidRDefault="00933007" w:rsidP="009330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933007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933007" w:rsidRPr="00FD4CAC" w:rsidRDefault="00933007" w:rsidP="008F1BD0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 xml:space="preserve">Areas of </w:t>
            </w:r>
            <w:r w:rsidR="008F1BD0" w:rsidRPr="008F1BD0">
              <w:rPr>
                <w:rStyle w:val="Heading3Char"/>
              </w:rPr>
              <w:t>co</w:t>
            </w:r>
            <w:r w:rsidRPr="008F1BD0">
              <w:rPr>
                <w:rStyle w:val="Heading3Char"/>
              </w:rPr>
              <w:t>mmendation: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indicators of success</w:t>
            </w:r>
          </w:p>
        </w:tc>
      </w:tr>
      <w:tr w:rsidR="00933007" w:rsidTr="001D36C1">
        <w:tc>
          <w:tcPr>
            <w:tcW w:w="14338" w:type="dxa"/>
            <w:tcBorders>
              <w:left w:val="nil"/>
              <w:right w:val="nil"/>
            </w:tcBorders>
          </w:tcPr>
          <w:p w:rsidR="00933007" w:rsidRPr="00FD4CAC" w:rsidRDefault="00933007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>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</w:tc>
      </w:tr>
    </w:tbl>
    <w:p w:rsidR="00933007" w:rsidRDefault="00933007" w:rsidP="00933007">
      <w:r>
        <w:br w:type="page"/>
      </w:r>
    </w:p>
    <w:p w:rsidR="00933007" w:rsidRPr="00CE738B" w:rsidRDefault="00933007" w:rsidP="008F1BD0">
      <w:pPr>
        <w:pStyle w:val="Heading2"/>
      </w:pPr>
      <w:r>
        <w:lastRenderedPageBreak/>
        <w:t>Standard 4</w:t>
      </w:r>
      <w:r w:rsidR="00961F09">
        <w:t>.0</w:t>
      </w:r>
      <w:bookmarkStart w:id="0" w:name="_GoBack"/>
      <w:bookmarkEnd w:id="0"/>
      <w:r>
        <w:t xml:space="preserve"> -</w:t>
      </w:r>
      <w:r w:rsidRPr="00CE738B">
        <w:t xml:space="preserve"> Staffing </w:t>
      </w:r>
      <w:r w:rsidR="00961F09">
        <w:t>m</w:t>
      </w:r>
      <w:r w:rsidRPr="00CE738B">
        <w:t xml:space="preserve">ethodology </w:t>
      </w:r>
    </w:p>
    <w:tbl>
      <w:tblPr>
        <w:tblStyle w:val="TableGrid"/>
        <w:tblW w:w="0" w:type="auto"/>
        <w:shd w:val="clear" w:color="auto" w:fill="BFB97F"/>
        <w:tblLook w:val="04A0" w:firstRow="1" w:lastRow="0" w:firstColumn="1" w:lastColumn="0" w:noHBand="0" w:noVBand="1"/>
      </w:tblPr>
      <w:tblGrid>
        <w:gridCol w:w="14283"/>
      </w:tblGrid>
      <w:tr w:rsidR="00933007" w:rsidTr="00352EC3">
        <w:tc>
          <w:tcPr>
            <w:tcW w:w="14283" w:type="dxa"/>
            <w:shd w:val="clear" w:color="auto" w:fill="BFB97F"/>
          </w:tcPr>
          <w:p w:rsidR="00933007" w:rsidRPr="00041F9D" w:rsidRDefault="00933007" w:rsidP="00352E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Standard 4</w:t>
            </w:r>
            <w:r w:rsidRPr="00041F9D">
              <w:rPr>
                <w:rFonts w:cstheme="minorHAnsi"/>
                <w:b/>
              </w:rPr>
              <w:t>.0</w:t>
            </w:r>
          </w:p>
          <w:p w:rsidR="00933007" w:rsidRPr="00041F9D" w:rsidRDefault="00933007" w:rsidP="00352EC3">
            <w:pPr>
              <w:rPr>
                <w:rFonts w:cstheme="minorHAnsi"/>
              </w:rPr>
            </w:pPr>
            <w:r w:rsidRPr="00041F9D">
              <w:rPr>
                <w:rFonts w:cstheme="minorHAnsi"/>
              </w:rPr>
              <w:t xml:space="preserve">A </w:t>
            </w:r>
            <w:r>
              <w:rPr>
                <w:rStyle w:val="BodyTextChar"/>
                <w:rFonts w:asciiTheme="minorHAnsi" w:hAnsiTheme="minorHAnsi" w:cstheme="minorHAnsi"/>
              </w:rPr>
              <w:t xml:space="preserve">systematic </w:t>
            </w:r>
            <w:r w:rsidRPr="00041F9D">
              <w:rPr>
                <w:rStyle w:val="BodyTextChar"/>
                <w:rFonts w:asciiTheme="minorHAnsi" w:hAnsiTheme="minorHAnsi" w:cstheme="minorHAnsi"/>
              </w:rPr>
              <w:t>process</w:t>
            </w:r>
            <w:r w:rsidRPr="00041F9D">
              <w:rPr>
                <w:rFonts w:cstheme="minorHAnsi"/>
              </w:rPr>
              <w:t xml:space="preserve"> is used to establish </w:t>
            </w:r>
            <w:r>
              <w:rPr>
                <w:rFonts w:cstheme="minorHAnsi"/>
              </w:rPr>
              <w:t xml:space="preserve">and budget for </w:t>
            </w:r>
            <w:r w:rsidRPr="00041F9D">
              <w:rPr>
                <w:rFonts w:cstheme="minorHAnsi"/>
              </w:rPr>
              <w:t xml:space="preserve">staffing FTE, staff </w:t>
            </w:r>
            <w:r>
              <w:rPr>
                <w:rFonts w:cstheme="minorHAnsi"/>
              </w:rPr>
              <w:t xml:space="preserve">mix </w:t>
            </w:r>
            <w:r w:rsidRPr="00041F9D">
              <w:rPr>
                <w:rFonts w:cstheme="minorHAnsi"/>
              </w:rPr>
              <w:t xml:space="preserve">and skill mix for to ensure the provision of </w:t>
            </w:r>
            <w:r w:rsidRPr="00041F9D">
              <w:rPr>
                <w:rStyle w:val="BodyTextChar"/>
                <w:rFonts w:asciiTheme="minorHAnsi" w:hAnsiTheme="minorHAnsi" w:cstheme="minorHAnsi"/>
              </w:rPr>
              <w:t>timely, approp</w:t>
            </w:r>
            <w:r>
              <w:rPr>
                <w:rStyle w:val="BodyTextChar"/>
                <w:rFonts w:asciiTheme="minorHAnsi" w:hAnsiTheme="minorHAnsi" w:cstheme="minorHAnsi"/>
              </w:rPr>
              <w:t>riate and safe services.</w:t>
            </w:r>
          </w:p>
        </w:tc>
      </w:tr>
    </w:tbl>
    <w:p w:rsidR="00E80D49" w:rsidRDefault="00933007" w:rsidP="00933007">
      <w:pPr>
        <w:spacing w:before="60"/>
      </w:pPr>
      <w:r w:rsidRPr="00060ECD">
        <w:rPr>
          <w:b/>
        </w:rPr>
        <w:t>Note:</w:t>
      </w:r>
      <w:r>
        <w:t xml:space="preserve"> This standard </w:t>
      </w:r>
      <w:r w:rsidR="00961F09">
        <w:t>excludes Allied</w:t>
      </w:r>
      <w:r>
        <w:t xml:space="preserve"> Health and </w:t>
      </w:r>
      <w:r w:rsidR="007F1935">
        <w:t>c</w:t>
      </w:r>
      <w:r>
        <w:t>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072"/>
      </w:tblGrid>
      <w:tr w:rsidR="00933007" w:rsidTr="00352EC3">
        <w:trPr>
          <w:tblHeader/>
        </w:trPr>
        <w:tc>
          <w:tcPr>
            <w:tcW w:w="5211" w:type="dxa"/>
            <w:shd w:val="clear" w:color="auto" w:fill="BFB97F"/>
          </w:tcPr>
          <w:p w:rsidR="00933007" w:rsidRPr="00933007" w:rsidRDefault="00933007" w:rsidP="001D36C1">
            <w:pPr>
              <w:pStyle w:val="NoSpacing"/>
              <w:rPr>
                <w:b/>
                <w:sz w:val="22"/>
              </w:rPr>
            </w:pPr>
            <w:r w:rsidRPr="00933007">
              <w:rPr>
                <w:b/>
                <w:sz w:val="22"/>
              </w:rPr>
              <w:t>Criteria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BFB97F"/>
          </w:tcPr>
          <w:p w:rsidR="00933007" w:rsidRPr="00235BBD" w:rsidRDefault="00933007" w:rsidP="007F1935">
            <w:pPr>
              <w:pStyle w:val="NoSpacing"/>
              <w:rPr>
                <w:sz w:val="22"/>
              </w:rPr>
            </w:pPr>
            <w:r w:rsidRPr="00235BBD">
              <w:rPr>
                <w:sz w:val="22"/>
              </w:rPr>
              <w:t xml:space="preserve">Evidence (use standards guidance) expectation is to see evidence at Executive / </w:t>
            </w:r>
            <w:r w:rsidR="007F1935">
              <w:rPr>
                <w:sz w:val="22"/>
              </w:rPr>
              <w:t>d</w:t>
            </w:r>
            <w:r w:rsidRPr="00235BBD">
              <w:rPr>
                <w:sz w:val="22"/>
              </w:rPr>
              <w:t xml:space="preserve">irectorate and </w:t>
            </w:r>
            <w:r w:rsidR="007F1935">
              <w:rPr>
                <w:sz w:val="22"/>
              </w:rPr>
              <w:t>w</w:t>
            </w:r>
            <w:r w:rsidRPr="00235BBD">
              <w:rPr>
                <w:sz w:val="22"/>
              </w:rPr>
              <w:t>ard level</w:t>
            </w:r>
          </w:p>
        </w:tc>
      </w:tr>
      <w:tr w:rsidR="00933007" w:rsidTr="00352EC3">
        <w:trPr>
          <w:trHeight w:val="906"/>
        </w:trPr>
        <w:tc>
          <w:tcPr>
            <w:tcW w:w="5211" w:type="dxa"/>
            <w:shd w:val="clear" w:color="auto" w:fill="E6E4CC"/>
          </w:tcPr>
          <w:p w:rsidR="00933007" w:rsidRPr="0045709B" w:rsidRDefault="00933007" w:rsidP="00235BBD">
            <w:pPr>
              <w:pStyle w:val="NoSpacing"/>
              <w:numPr>
                <w:ilvl w:val="0"/>
                <w:numId w:val="13"/>
              </w:numPr>
              <w:spacing w:line="276" w:lineRule="auto"/>
              <w:ind w:left="426" w:hanging="426"/>
              <w:jc w:val="left"/>
            </w:pPr>
            <w:r w:rsidRPr="0045709B">
              <w:t>The organisation has</w:t>
            </w:r>
            <w:r>
              <w:t xml:space="preserve"> staffing budget setting</w:t>
            </w:r>
            <w:r w:rsidRPr="0045709B">
              <w:t xml:space="preserve"> procedures in place that are reviewed annually by the CCDM </w:t>
            </w:r>
            <w:r w:rsidR="00235BBD">
              <w:t>c</w:t>
            </w:r>
            <w:r w:rsidRPr="0045709B">
              <w:t>ouncil.</w:t>
            </w:r>
          </w:p>
        </w:tc>
        <w:tc>
          <w:tcPr>
            <w:tcW w:w="9072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1207"/>
        </w:trPr>
        <w:tc>
          <w:tcPr>
            <w:tcW w:w="5211" w:type="dxa"/>
            <w:shd w:val="clear" w:color="auto" w:fill="E6E4CC"/>
          </w:tcPr>
          <w:p w:rsidR="00933007" w:rsidRPr="0045709B" w:rsidRDefault="00933007" w:rsidP="00933007">
            <w:pPr>
              <w:pStyle w:val="NoSpacing"/>
              <w:numPr>
                <w:ilvl w:val="0"/>
                <w:numId w:val="13"/>
              </w:numPr>
              <w:spacing w:line="276" w:lineRule="auto"/>
              <w:ind w:left="426" w:hanging="426"/>
              <w:jc w:val="left"/>
            </w:pPr>
            <w:r w:rsidRPr="0045709B">
              <w:t>The organisation uses the CCDM staffing methodology to establish staffing numbers</w:t>
            </w:r>
            <w:r>
              <w:t>,</w:t>
            </w:r>
            <w:r w:rsidRPr="0045709B">
              <w:t xml:space="preserve"> </w:t>
            </w:r>
            <w:r>
              <w:t xml:space="preserve">staff </w:t>
            </w:r>
            <w:r w:rsidRPr="0045709B">
              <w:t xml:space="preserve">and </w:t>
            </w:r>
            <w:r>
              <w:t>skill</w:t>
            </w:r>
            <w:r w:rsidRPr="0045709B">
              <w:t xml:space="preserve"> mix for each ward/unit that uses a validated patient acuity system.</w:t>
            </w:r>
          </w:p>
        </w:tc>
        <w:tc>
          <w:tcPr>
            <w:tcW w:w="9072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789"/>
        </w:trPr>
        <w:tc>
          <w:tcPr>
            <w:tcW w:w="5211" w:type="dxa"/>
            <w:shd w:val="clear" w:color="auto" w:fill="E6E4CC"/>
          </w:tcPr>
          <w:p w:rsidR="00933007" w:rsidRPr="0045709B" w:rsidRDefault="00933007" w:rsidP="00933007">
            <w:pPr>
              <w:pStyle w:val="NoSpacing"/>
              <w:numPr>
                <w:ilvl w:val="0"/>
                <w:numId w:val="13"/>
              </w:numPr>
              <w:spacing w:line="276" w:lineRule="auto"/>
              <w:ind w:left="426" w:hanging="426"/>
              <w:jc w:val="left"/>
            </w:pPr>
            <w:r w:rsidRPr="0045709B">
              <w:t>Budget holders are involved annually in setting the roster model, FTE and budget.</w:t>
            </w:r>
          </w:p>
        </w:tc>
        <w:tc>
          <w:tcPr>
            <w:tcW w:w="9072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789"/>
        </w:trPr>
        <w:tc>
          <w:tcPr>
            <w:tcW w:w="5211" w:type="dxa"/>
            <w:shd w:val="clear" w:color="auto" w:fill="E6E4CC"/>
          </w:tcPr>
          <w:p w:rsidR="00933007" w:rsidRPr="0045709B" w:rsidRDefault="00933007" w:rsidP="00933007">
            <w:pPr>
              <w:pStyle w:val="NoSpacing"/>
              <w:numPr>
                <w:ilvl w:val="0"/>
                <w:numId w:val="13"/>
              </w:numPr>
              <w:spacing w:line="276" w:lineRule="auto"/>
              <w:ind w:left="426" w:hanging="426"/>
              <w:jc w:val="left"/>
            </w:pPr>
            <w:r w:rsidRPr="0045709B">
              <w:t xml:space="preserve">The roster model provides the best match of staffing to patient demand. </w:t>
            </w:r>
          </w:p>
        </w:tc>
        <w:tc>
          <w:tcPr>
            <w:tcW w:w="9072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789"/>
        </w:trPr>
        <w:tc>
          <w:tcPr>
            <w:tcW w:w="5211" w:type="dxa"/>
            <w:shd w:val="clear" w:color="auto" w:fill="E6E4CC"/>
          </w:tcPr>
          <w:p w:rsidR="00933007" w:rsidRPr="0045709B" w:rsidRDefault="00933007" w:rsidP="00933007">
            <w:pPr>
              <w:pStyle w:val="NoSpacing"/>
              <w:numPr>
                <w:ilvl w:val="0"/>
                <w:numId w:val="13"/>
              </w:numPr>
              <w:spacing w:line="276" w:lineRule="auto"/>
              <w:ind w:left="426" w:hanging="426"/>
              <w:jc w:val="left"/>
            </w:pPr>
            <w:r w:rsidRPr="0045709B">
              <w:t xml:space="preserve">The organisation regularly evaluates the </w:t>
            </w:r>
            <w:r>
              <w:t>adequacy of staffing levels/</w:t>
            </w:r>
            <w:r w:rsidRPr="0045709B">
              <w:t>mix and acts on the findings.</w:t>
            </w:r>
          </w:p>
        </w:tc>
        <w:tc>
          <w:tcPr>
            <w:tcW w:w="9072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</w:tbl>
    <w:p w:rsidR="00933007" w:rsidRDefault="00933007" w:rsidP="009330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260"/>
        <w:gridCol w:w="3402"/>
      </w:tblGrid>
      <w:tr w:rsidR="00933007" w:rsidTr="00352EC3">
        <w:tc>
          <w:tcPr>
            <w:tcW w:w="14283" w:type="dxa"/>
            <w:gridSpan w:val="4"/>
            <w:shd w:val="clear" w:color="auto" w:fill="BFB97F"/>
          </w:tcPr>
          <w:p w:rsidR="00933007" w:rsidRPr="002112FE" w:rsidRDefault="00933007" w:rsidP="001D36C1">
            <w:pPr>
              <w:pStyle w:val="NoSpacing"/>
              <w:spacing w:before="60" w:after="60"/>
              <w:rPr>
                <w:b/>
              </w:rPr>
            </w:pPr>
            <w:r w:rsidRPr="002112FE">
              <w:rPr>
                <w:b/>
              </w:rPr>
              <w:t xml:space="preserve">Standard overall attainment </w:t>
            </w:r>
          </w:p>
        </w:tc>
      </w:tr>
      <w:tr w:rsidR="00933007" w:rsidTr="001D36C1">
        <w:tc>
          <w:tcPr>
            <w:tcW w:w="351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7232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33007">
              <w:t xml:space="preserve"> NA – Not attained</w:t>
            </w:r>
          </w:p>
        </w:tc>
        <w:tc>
          <w:tcPr>
            <w:tcW w:w="4111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2044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PA – Partially attained </w:t>
            </w:r>
          </w:p>
        </w:tc>
        <w:tc>
          <w:tcPr>
            <w:tcW w:w="3260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76522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007">
              <w:t xml:space="preserve"> FA – Fully attained</w:t>
            </w:r>
          </w:p>
        </w:tc>
        <w:tc>
          <w:tcPr>
            <w:tcW w:w="3402" w:type="dxa"/>
            <w:shd w:val="clear" w:color="auto" w:fill="auto"/>
          </w:tcPr>
          <w:p w:rsidR="00933007" w:rsidRDefault="00961F09" w:rsidP="001D36C1">
            <w:pPr>
              <w:pStyle w:val="NoSpacing"/>
              <w:spacing w:before="60" w:after="60"/>
            </w:pPr>
            <w:sdt>
              <w:sdtPr>
                <w:id w:val="-17934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BD0">
              <w:t xml:space="preserve"> CI – Continuous i</w:t>
            </w:r>
            <w:r w:rsidR="00933007">
              <w:t xml:space="preserve">mprovement </w:t>
            </w:r>
          </w:p>
        </w:tc>
      </w:tr>
    </w:tbl>
    <w:p w:rsidR="00933007" w:rsidRDefault="00933007" w:rsidP="009330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933007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933007" w:rsidRPr="00FD4CAC" w:rsidRDefault="00933007" w:rsidP="008F1BD0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 xml:space="preserve">Areas of </w:t>
            </w:r>
            <w:r w:rsidR="008F1BD0" w:rsidRPr="008F1BD0">
              <w:rPr>
                <w:rStyle w:val="Heading3Char"/>
              </w:rPr>
              <w:t>c</w:t>
            </w:r>
            <w:r w:rsidRPr="008F1BD0">
              <w:rPr>
                <w:rStyle w:val="Heading3Char"/>
              </w:rPr>
              <w:t>ommendation: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indicators of success</w:t>
            </w:r>
          </w:p>
        </w:tc>
      </w:tr>
      <w:tr w:rsidR="00933007" w:rsidTr="001D36C1">
        <w:tc>
          <w:tcPr>
            <w:tcW w:w="14338" w:type="dxa"/>
            <w:tcBorders>
              <w:left w:val="nil"/>
              <w:right w:val="nil"/>
            </w:tcBorders>
          </w:tcPr>
          <w:p w:rsidR="00933007" w:rsidRPr="00FD4CAC" w:rsidRDefault="00933007" w:rsidP="001D36C1">
            <w:pPr>
              <w:spacing w:before="60" w:after="60"/>
              <w:rPr>
                <w:b/>
                <w:sz w:val="24"/>
              </w:rPr>
            </w:pPr>
            <w:r w:rsidRPr="008F1BD0">
              <w:rPr>
                <w:rStyle w:val="Heading3Char"/>
              </w:rPr>
              <w:t>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</w:tc>
      </w:tr>
    </w:tbl>
    <w:p w:rsidR="005201CE" w:rsidRDefault="005201CE" w:rsidP="005201CE"/>
    <w:p w:rsidR="00933007" w:rsidRPr="000C0248" w:rsidRDefault="00933007" w:rsidP="008F1BD0">
      <w:pPr>
        <w:pStyle w:val="Heading2"/>
      </w:pPr>
      <w:r>
        <w:lastRenderedPageBreak/>
        <w:t>Standard 5</w:t>
      </w:r>
      <w:r w:rsidR="00961F09">
        <w:t>.0</w:t>
      </w:r>
      <w:r w:rsidRPr="000C0248">
        <w:t xml:space="preserve"> – Variance </w:t>
      </w:r>
      <w:r w:rsidR="00961F09">
        <w:t>r</w:t>
      </w:r>
      <w:r w:rsidRPr="000C0248">
        <w:t xml:space="preserve">esponse </w:t>
      </w:r>
      <w:r w:rsidR="00961F09">
        <w:t>m</w:t>
      </w:r>
      <w:r w:rsidRPr="000C0248">
        <w:t>anagement</w:t>
      </w:r>
    </w:p>
    <w:tbl>
      <w:tblPr>
        <w:tblStyle w:val="TableGrid"/>
        <w:tblW w:w="0" w:type="auto"/>
        <w:shd w:val="clear" w:color="auto" w:fill="BFB97F"/>
        <w:tblLook w:val="04A0" w:firstRow="1" w:lastRow="0" w:firstColumn="1" w:lastColumn="0" w:noHBand="0" w:noVBand="1"/>
      </w:tblPr>
      <w:tblGrid>
        <w:gridCol w:w="14283"/>
      </w:tblGrid>
      <w:tr w:rsidR="00933007" w:rsidTr="00352EC3">
        <w:trPr>
          <w:tblHeader/>
        </w:trPr>
        <w:tc>
          <w:tcPr>
            <w:tcW w:w="14283" w:type="dxa"/>
            <w:shd w:val="clear" w:color="auto" w:fill="BFB97F"/>
          </w:tcPr>
          <w:p w:rsidR="00933007" w:rsidRPr="00352EC3" w:rsidRDefault="00933007" w:rsidP="00352EC3">
            <w:pPr>
              <w:rPr>
                <w:rFonts w:cstheme="minorHAnsi"/>
                <w:b/>
              </w:rPr>
            </w:pPr>
            <w:r w:rsidRPr="00352EC3">
              <w:rPr>
                <w:rFonts w:cstheme="minorHAnsi"/>
                <w:b/>
              </w:rPr>
              <w:t>Standard 5.0</w:t>
            </w:r>
          </w:p>
          <w:p w:rsidR="00933007" w:rsidRPr="00352EC3" w:rsidRDefault="00933007" w:rsidP="007F1935">
            <w:pPr>
              <w:rPr>
                <w:rFonts w:cstheme="minorHAnsi"/>
              </w:rPr>
            </w:pPr>
            <w:r w:rsidRPr="00352EC3">
              <w:rPr>
                <w:rFonts w:cstheme="minorHAnsi"/>
              </w:rPr>
              <w:t xml:space="preserve">The DHB uses a </w:t>
            </w:r>
            <w:r w:rsidR="007F1935">
              <w:rPr>
                <w:rFonts w:cstheme="minorHAnsi"/>
              </w:rPr>
              <w:t>v</w:t>
            </w:r>
            <w:r w:rsidRPr="00352EC3">
              <w:rPr>
                <w:rFonts w:cstheme="minorHAnsi"/>
              </w:rPr>
              <w:t xml:space="preserve">ariance </w:t>
            </w:r>
            <w:r w:rsidR="007F1935">
              <w:rPr>
                <w:rFonts w:cstheme="minorHAnsi"/>
              </w:rPr>
              <w:t>r</w:t>
            </w:r>
            <w:r w:rsidRPr="00352EC3">
              <w:rPr>
                <w:rFonts w:cstheme="minorHAnsi"/>
              </w:rPr>
              <w:t xml:space="preserve">esponse </w:t>
            </w:r>
            <w:r w:rsidR="007F1935">
              <w:rPr>
                <w:rFonts w:cstheme="minorHAnsi"/>
              </w:rPr>
              <w:t>m</w:t>
            </w:r>
            <w:r w:rsidRPr="00352EC3">
              <w:rPr>
                <w:rFonts w:cstheme="minorHAnsi"/>
              </w:rPr>
              <w:t>anagement system to provide the right staff numbers, mix and skills at all times for effective patient care delivery.</w:t>
            </w:r>
          </w:p>
        </w:tc>
      </w:tr>
    </w:tbl>
    <w:p w:rsidR="00933007" w:rsidRDefault="00933007" w:rsidP="009330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9150"/>
      </w:tblGrid>
      <w:tr w:rsidR="00933007" w:rsidTr="00352EC3">
        <w:trPr>
          <w:tblHeader/>
        </w:trPr>
        <w:tc>
          <w:tcPr>
            <w:tcW w:w="5162" w:type="dxa"/>
            <w:shd w:val="clear" w:color="auto" w:fill="BFB97F"/>
          </w:tcPr>
          <w:p w:rsidR="00933007" w:rsidRPr="00352EC3" w:rsidRDefault="00933007" w:rsidP="001D36C1">
            <w:pPr>
              <w:pStyle w:val="NoSpacing"/>
              <w:rPr>
                <w:b/>
                <w:sz w:val="22"/>
              </w:rPr>
            </w:pPr>
            <w:r w:rsidRPr="00352EC3">
              <w:rPr>
                <w:b/>
                <w:sz w:val="22"/>
              </w:rPr>
              <w:t>Criteria</w:t>
            </w:r>
          </w:p>
        </w:tc>
        <w:tc>
          <w:tcPr>
            <w:tcW w:w="9150" w:type="dxa"/>
            <w:tcBorders>
              <w:bottom w:val="single" w:sz="4" w:space="0" w:color="auto"/>
            </w:tcBorders>
            <w:shd w:val="clear" w:color="auto" w:fill="BFB97F"/>
          </w:tcPr>
          <w:p w:rsidR="00933007" w:rsidRPr="00235BBD" w:rsidRDefault="00933007" w:rsidP="007F1935">
            <w:pPr>
              <w:pStyle w:val="NoSpacing"/>
              <w:rPr>
                <w:sz w:val="22"/>
              </w:rPr>
            </w:pPr>
            <w:r w:rsidRPr="00235BBD">
              <w:rPr>
                <w:sz w:val="22"/>
              </w:rPr>
              <w:t xml:space="preserve">Evidence (use standards guidance) expectation is to see evidence at Executive / </w:t>
            </w:r>
            <w:r w:rsidR="007F1935">
              <w:rPr>
                <w:sz w:val="22"/>
              </w:rPr>
              <w:t>d</w:t>
            </w:r>
            <w:r w:rsidRPr="00235BBD">
              <w:rPr>
                <w:sz w:val="22"/>
              </w:rPr>
              <w:t>irectorate</w:t>
            </w:r>
            <w:r w:rsidR="006E6F00">
              <w:rPr>
                <w:sz w:val="22"/>
              </w:rPr>
              <w:t>/service</w:t>
            </w:r>
            <w:r w:rsidRPr="00235BBD">
              <w:rPr>
                <w:sz w:val="22"/>
              </w:rPr>
              <w:t xml:space="preserve"> and </w:t>
            </w:r>
            <w:r w:rsidR="007F1935">
              <w:rPr>
                <w:sz w:val="22"/>
              </w:rPr>
              <w:t>w</w:t>
            </w:r>
            <w:r w:rsidRPr="00235BBD">
              <w:rPr>
                <w:sz w:val="22"/>
              </w:rPr>
              <w:t>ard level</w:t>
            </w:r>
          </w:p>
        </w:tc>
      </w:tr>
      <w:tr w:rsidR="00933007" w:rsidTr="00352EC3">
        <w:trPr>
          <w:trHeight w:val="875"/>
        </w:trPr>
        <w:tc>
          <w:tcPr>
            <w:tcW w:w="5162" w:type="dxa"/>
            <w:shd w:val="clear" w:color="auto" w:fill="E6E4CC"/>
          </w:tcPr>
          <w:p w:rsidR="00933007" w:rsidRPr="006431FB" w:rsidRDefault="00933007" w:rsidP="00933007">
            <w:pPr>
              <w:pStyle w:val="NoSpacing"/>
              <w:numPr>
                <w:ilvl w:val="0"/>
                <w:numId w:val="14"/>
              </w:numPr>
              <w:ind w:left="567" w:hanging="425"/>
              <w:jc w:val="left"/>
            </w:pPr>
            <w:r w:rsidRPr="00F1045D">
              <w:t xml:space="preserve">There is an integrated operations centre where </w:t>
            </w:r>
            <w:r>
              <w:t xml:space="preserve">hospital-wide </w:t>
            </w:r>
            <w:r w:rsidRPr="00F1045D">
              <w:t>care capacity and patient demand is visible in real time</w:t>
            </w:r>
            <w:r>
              <w:t xml:space="preserve"> 24/7.</w:t>
            </w:r>
          </w:p>
        </w:tc>
        <w:tc>
          <w:tcPr>
            <w:tcW w:w="9150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1159"/>
        </w:trPr>
        <w:tc>
          <w:tcPr>
            <w:tcW w:w="5162" w:type="dxa"/>
            <w:shd w:val="clear" w:color="auto" w:fill="E6E4CC"/>
          </w:tcPr>
          <w:p w:rsidR="00933007" w:rsidRPr="00F1045D" w:rsidRDefault="00933007" w:rsidP="00933007">
            <w:pPr>
              <w:pStyle w:val="NoSpacing"/>
              <w:numPr>
                <w:ilvl w:val="0"/>
                <w:numId w:val="14"/>
              </w:numPr>
              <w:ind w:left="567" w:hanging="425"/>
              <w:jc w:val="left"/>
            </w:pPr>
            <w:r w:rsidRPr="00F40324">
              <w:t>There is a suitably qualified and/or experienced person with authority, accountability and responsibility for managing staffing and patient flow 24/7.</w:t>
            </w:r>
          </w:p>
        </w:tc>
        <w:tc>
          <w:tcPr>
            <w:tcW w:w="9150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  <w:tr w:rsidR="00933007" w:rsidTr="00352EC3">
        <w:trPr>
          <w:trHeight w:val="875"/>
        </w:trPr>
        <w:tc>
          <w:tcPr>
            <w:tcW w:w="5162" w:type="dxa"/>
            <w:shd w:val="clear" w:color="auto" w:fill="E6E4CC"/>
          </w:tcPr>
          <w:p w:rsidR="00933007" w:rsidRPr="00F1045D" w:rsidRDefault="00933007" w:rsidP="00933007">
            <w:pPr>
              <w:pStyle w:val="NoSpacing"/>
              <w:numPr>
                <w:ilvl w:val="0"/>
                <w:numId w:val="14"/>
              </w:numPr>
              <w:ind w:left="567" w:hanging="425"/>
              <w:jc w:val="left"/>
            </w:pPr>
            <w:r w:rsidRPr="00F1045D">
              <w:t>The organisation consistently matches staffing resource with patient demand on a shift by shift basis.</w:t>
            </w:r>
          </w:p>
        </w:tc>
        <w:tc>
          <w:tcPr>
            <w:tcW w:w="9150" w:type="dxa"/>
            <w:shd w:val="clear" w:color="auto" w:fill="auto"/>
          </w:tcPr>
          <w:p w:rsidR="00933007" w:rsidRPr="00600CC8" w:rsidRDefault="00933007" w:rsidP="001D36C1">
            <w:pPr>
              <w:pStyle w:val="ListParagraph"/>
              <w:ind w:left="459"/>
              <w:rPr>
                <w:i/>
                <w:sz w:val="20"/>
                <w:szCs w:val="20"/>
              </w:rPr>
            </w:pPr>
          </w:p>
        </w:tc>
      </w:tr>
    </w:tbl>
    <w:p w:rsidR="0056526E" w:rsidRDefault="0056526E" w:rsidP="005652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3260"/>
        <w:gridCol w:w="3402"/>
      </w:tblGrid>
      <w:tr w:rsidR="0056526E" w:rsidTr="00352EC3">
        <w:tc>
          <w:tcPr>
            <w:tcW w:w="14283" w:type="dxa"/>
            <w:gridSpan w:val="4"/>
            <w:shd w:val="clear" w:color="auto" w:fill="BFB97F"/>
          </w:tcPr>
          <w:p w:rsidR="0056526E" w:rsidRPr="002112FE" w:rsidRDefault="0056526E" w:rsidP="001D36C1">
            <w:pPr>
              <w:pStyle w:val="NoSpacing"/>
              <w:spacing w:before="60" w:after="60"/>
              <w:rPr>
                <w:b/>
              </w:rPr>
            </w:pPr>
            <w:r w:rsidRPr="002112FE">
              <w:rPr>
                <w:b/>
              </w:rPr>
              <w:t xml:space="preserve">Standard overall attainment </w:t>
            </w:r>
          </w:p>
        </w:tc>
      </w:tr>
      <w:tr w:rsidR="0056526E" w:rsidTr="001D36C1">
        <w:tc>
          <w:tcPr>
            <w:tcW w:w="3510" w:type="dxa"/>
            <w:shd w:val="clear" w:color="auto" w:fill="auto"/>
          </w:tcPr>
          <w:p w:rsidR="0056526E" w:rsidRDefault="00961F09" w:rsidP="001D36C1">
            <w:pPr>
              <w:pStyle w:val="NoSpacing"/>
              <w:spacing w:before="60" w:after="60"/>
            </w:pPr>
            <w:sdt>
              <w:sdtPr>
                <w:id w:val="-2784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6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6526E">
              <w:t xml:space="preserve"> NA – Not attained</w:t>
            </w:r>
          </w:p>
        </w:tc>
        <w:tc>
          <w:tcPr>
            <w:tcW w:w="4111" w:type="dxa"/>
            <w:shd w:val="clear" w:color="auto" w:fill="auto"/>
          </w:tcPr>
          <w:p w:rsidR="0056526E" w:rsidRDefault="00961F09" w:rsidP="001D36C1">
            <w:pPr>
              <w:pStyle w:val="NoSpacing"/>
              <w:spacing w:before="60" w:after="60"/>
            </w:pPr>
            <w:sdt>
              <w:sdtPr>
                <w:id w:val="-930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26E">
              <w:t xml:space="preserve"> PA – Partially attained </w:t>
            </w:r>
          </w:p>
        </w:tc>
        <w:tc>
          <w:tcPr>
            <w:tcW w:w="3260" w:type="dxa"/>
            <w:shd w:val="clear" w:color="auto" w:fill="auto"/>
          </w:tcPr>
          <w:p w:rsidR="0056526E" w:rsidRDefault="00961F09" w:rsidP="001D36C1">
            <w:pPr>
              <w:pStyle w:val="NoSpacing"/>
              <w:spacing w:before="60" w:after="60"/>
            </w:pPr>
            <w:sdt>
              <w:sdtPr>
                <w:id w:val="-18618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26E">
              <w:t xml:space="preserve"> FA – Fully attained</w:t>
            </w:r>
          </w:p>
        </w:tc>
        <w:tc>
          <w:tcPr>
            <w:tcW w:w="3402" w:type="dxa"/>
            <w:shd w:val="clear" w:color="auto" w:fill="auto"/>
          </w:tcPr>
          <w:p w:rsidR="0056526E" w:rsidRDefault="00961F09" w:rsidP="001D36C1">
            <w:pPr>
              <w:pStyle w:val="NoSpacing"/>
              <w:spacing w:before="60" w:after="60"/>
            </w:pPr>
            <w:sdt>
              <w:sdtPr>
                <w:id w:val="6581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BD0">
              <w:t xml:space="preserve"> CI – Continuous i</w:t>
            </w:r>
            <w:r w:rsidR="0056526E">
              <w:t xml:space="preserve">mprovement </w:t>
            </w:r>
          </w:p>
        </w:tc>
      </w:tr>
    </w:tbl>
    <w:p w:rsidR="0056526E" w:rsidRDefault="0056526E" w:rsidP="005652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56526E" w:rsidTr="001D36C1">
        <w:tc>
          <w:tcPr>
            <w:tcW w:w="14338" w:type="dxa"/>
            <w:tcBorders>
              <w:left w:val="nil"/>
              <w:bottom w:val="single" w:sz="4" w:space="0" w:color="auto"/>
              <w:right w:val="nil"/>
            </w:tcBorders>
          </w:tcPr>
          <w:p w:rsidR="0056526E" w:rsidRPr="00FD4CAC" w:rsidRDefault="0056526E" w:rsidP="008F1BD0">
            <w:pPr>
              <w:spacing w:before="60" w:after="60"/>
              <w:rPr>
                <w:b/>
                <w:sz w:val="24"/>
              </w:rPr>
            </w:pPr>
            <w:r w:rsidRPr="007F1935">
              <w:rPr>
                <w:rStyle w:val="Heading3Char"/>
              </w:rPr>
              <w:t xml:space="preserve">Areas of </w:t>
            </w:r>
            <w:r w:rsidR="008F1BD0" w:rsidRPr="007F1935">
              <w:rPr>
                <w:rStyle w:val="Heading3Char"/>
              </w:rPr>
              <w:t>c</w:t>
            </w:r>
            <w:r w:rsidRPr="007F1935">
              <w:rPr>
                <w:rStyle w:val="Heading3Char"/>
              </w:rPr>
              <w:t>ommendation: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indicators of success</w:t>
            </w:r>
          </w:p>
        </w:tc>
      </w:tr>
      <w:tr w:rsidR="0056526E" w:rsidTr="001D36C1">
        <w:tc>
          <w:tcPr>
            <w:tcW w:w="14338" w:type="dxa"/>
            <w:tcBorders>
              <w:left w:val="nil"/>
              <w:right w:val="nil"/>
            </w:tcBorders>
          </w:tcPr>
          <w:p w:rsidR="0056526E" w:rsidRPr="00FD4CAC" w:rsidRDefault="0056526E" w:rsidP="001D36C1">
            <w:pPr>
              <w:spacing w:before="60" w:after="60"/>
              <w:rPr>
                <w:b/>
                <w:sz w:val="24"/>
              </w:rPr>
            </w:pPr>
            <w:r w:rsidRPr="007F1935">
              <w:rPr>
                <w:rStyle w:val="Heading3Char"/>
              </w:rPr>
              <w:t>Areas for improvement opportunities:</w:t>
            </w:r>
            <w:r>
              <w:rPr>
                <w:b/>
                <w:sz w:val="24"/>
              </w:rPr>
              <w:t xml:space="preserve"> </w:t>
            </w:r>
            <w:r w:rsidRPr="00163112">
              <w:rPr>
                <w:b/>
                <w:color w:val="808080" w:themeColor="background1" w:themeShade="80"/>
                <w:sz w:val="24"/>
              </w:rPr>
              <w:t>summarise the improvement opportunities</w:t>
            </w:r>
          </w:p>
        </w:tc>
      </w:tr>
    </w:tbl>
    <w:p w:rsidR="00933007" w:rsidRPr="005201CE" w:rsidRDefault="00933007" w:rsidP="005201CE"/>
    <w:p w:rsidR="004E6ABD" w:rsidRDefault="004E6ABD"/>
    <w:sectPr w:rsidR="004E6ABD" w:rsidSect="00E80D49">
      <w:headerReference w:type="default" r:id="rId8"/>
      <w:footerReference w:type="default" r:id="rId9"/>
      <w:pgSz w:w="16840" w:h="11900" w:orient="landscape"/>
      <w:pgMar w:top="993" w:right="1135" w:bottom="1134" w:left="993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54" w:rsidRDefault="00633354" w:rsidP="00D318E2">
      <w:r>
        <w:separator/>
      </w:r>
    </w:p>
  </w:endnote>
  <w:endnote w:type="continuationSeparator" w:id="0">
    <w:p w:rsidR="00633354" w:rsidRDefault="00633354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9D69E1" w:rsidP="00643396">
    <w:pPr>
      <w:pStyle w:val="FooterText"/>
      <w:spacing w:line="360" w:lineRule="auto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78466207" wp14:editId="528000E8">
          <wp:simplePos x="0" y="0"/>
          <wp:positionH relativeFrom="page">
            <wp:posOffset>254000</wp:posOffset>
          </wp:positionH>
          <wp:positionV relativeFrom="page">
            <wp:posOffset>6861589</wp:posOffset>
          </wp:positionV>
          <wp:extent cx="10180800" cy="3564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 methodolog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FILENAME \* MERGEFORMAT ">
      <w:r w:rsidR="00961F09">
        <w:rPr>
          <w:noProof/>
        </w:rPr>
        <w:t>4.12 CCDM programme standards assessment template_18Apr2018</w:t>
      </w:r>
    </w:fldSimple>
    <w:r w:rsidR="004E6ABD">
      <w:tab/>
    </w:r>
    <w:r w:rsidR="004E6ABD">
      <w:tab/>
    </w:r>
    <w:sdt>
      <w:sdtPr>
        <w:id w:val="-1202627915"/>
        <w:docPartObj>
          <w:docPartGallery w:val="Page Numbers (Bottom of Page)"/>
          <w:docPartUnique/>
        </w:docPartObj>
      </w:sdtPr>
      <w:sdtEndPr/>
      <w:sdtContent>
        <w:sdt>
          <w:sdtPr>
            <w:id w:val="664663481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961F09">
              <w:rPr>
                <w:bCs/>
                <w:noProof/>
              </w:rPr>
              <w:t>8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961F09">
              <w:rPr>
                <w:bCs/>
                <w:noProof/>
              </w:rPr>
              <w:t>9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643396" w:rsidRDefault="00643396">
    <w:pPr>
      <w:pStyle w:val="Footer"/>
      <w:rPr>
        <w:sz w:val="20"/>
      </w:rPr>
    </w:pPr>
    <w:r w:rsidRPr="00643396">
      <w:rPr>
        <w:sz w:val="20"/>
      </w:rPr>
      <w:t>© Ministry of Health</w:t>
    </w:r>
    <w:r w:rsidR="00235BBD">
      <w:rPr>
        <w:sz w:val="20"/>
      </w:rPr>
      <w:t>, NZ</w:t>
    </w:r>
    <w:r w:rsidRPr="00643396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54" w:rsidRDefault="00633354" w:rsidP="00D318E2">
      <w:r>
        <w:separator/>
      </w:r>
    </w:p>
  </w:footnote>
  <w:footnote w:type="continuationSeparator" w:id="0">
    <w:p w:rsidR="00633354" w:rsidRDefault="00633354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243C09" w:rsidP="004E6ABD">
    <w:pPr>
      <w:pStyle w:val="HeaderText"/>
    </w:pPr>
    <w:r>
      <w:t>CCDM</w:t>
    </w:r>
    <w:r w:rsidR="009D69E1">
      <w:t xml:space="preserve"> P</w:t>
    </w:r>
    <w:r w:rsidR="00235BBD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>
      <w:tab/>
    </w:r>
    <w:r w:rsidR="009D69E1">
      <w:tab/>
    </w:r>
    <w:r w:rsidR="009D69E1">
      <w:tab/>
    </w:r>
    <w:r w:rsidR="009D69E1">
      <w:tab/>
    </w:r>
    <w:r w:rsidR="009D69E1">
      <w:tab/>
    </w:r>
    <w:r w:rsidR="009D69E1">
      <w:tab/>
    </w:r>
    <w:r w:rsidR="009D69E1">
      <w:tab/>
    </w:r>
    <w:r w:rsidR="009D69E1">
      <w:tab/>
    </w:r>
    <w:r w:rsidR="00235BBD">
      <w:tab/>
    </w:r>
    <w:r w:rsidR="00235BBD">
      <w:tab/>
    </w:r>
    <w:r w:rsidR="002C6766">
      <w:t xml:space="preserve">CCDM </w:t>
    </w:r>
    <w:r w:rsidR="00235BBD">
      <w:t>gover</w:t>
    </w:r>
    <w:r w:rsidR="008F1BD0">
      <w:t>n</w:t>
    </w:r>
    <w:r w:rsidR="00235BBD">
      <w:t>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1F"/>
    <w:multiLevelType w:val="hybridMultilevel"/>
    <w:tmpl w:val="BF2ECA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1DE"/>
    <w:multiLevelType w:val="hybridMultilevel"/>
    <w:tmpl w:val="B6F8E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14474D"/>
    <w:multiLevelType w:val="hybridMultilevel"/>
    <w:tmpl w:val="5C4C4444"/>
    <w:lvl w:ilvl="0" w:tplc="55BA46E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C7D60"/>
    <w:multiLevelType w:val="multilevel"/>
    <w:tmpl w:val="5B6CC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536F00EB"/>
    <w:multiLevelType w:val="hybridMultilevel"/>
    <w:tmpl w:val="FF0400C0"/>
    <w:lvl w:ilvl="0" w:tplc="9BCEBC5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1059"/>
    <w:multiLevelType w:val="hybridMultilevel"/>
    <w:tmpl w:val="73920D7A"/>
    <w:lvl w:ilvl="0" w:tplc="3544CF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7F3251"/>
    <w:multiLevelType w:val="hybridMultilevel"/>
    <w:tmpl w:val="42C63316"/>
    <w:lvl w:ilvl="0" w:tplc="9F4A608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5174B"/>
    <w:multiLevelType w:val="hybridMultilevel"/>
    <w:tmpl w:val="92E61C42"/>
    <w:lvl w:ilvl="0" w:tplc="10C0D7C6">
      <w:start w:val="1"/>
      <w:numFmt w:val="decimal"/>
      <w:lvlText w:val="5.%1"/>
      <w:lvlJc w:val="left"/>
      <w:pPr>
        <w:ind w:left="5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4"/>
    <w:rsid w:val="00081AC6"/>
    <w:rsid w:val="00235BBD"/>
    <w:rsid w:val="00243C09"/>
    <w:rsid w:val="002A4BA0"/>
    <w:rsid w:val="002C6766"/>
    <w:rsid w:val="00316B68"/>
    <w:rsid w:val="00352EC3"/>
    <w:rsid w:val="003B7E16"/>
    <w:rsid w:val="004E6ABD"/>
    <w:rsid w:val="00501245"/>
    <w:rsid w:val="005201CE"/>
    <w:rsid w:val="0056526E"/>
    <w:rsid w:val="005824D3"/>
    <w:rsid w:val="005B7D5B"/>
    <w:rsid w:val="00633354"/>
    <w:rsid w:val="00643396"/>
    <w:rsid w:val="0069364F"/>
    <w:rsid w:val="006E5726"/>
    <w:rsid w:val="006E6F00"/>
    <w:rsid w:val="00727F68"/>
    <w:rsid w:val="007D4966"/>
    <w:rsid w:val="007F1935"/>
    <w:rsid w:val="00803DF8"/>
    <w:rsid w:val="00837FEE"/>
    <w:rsid w:val="00893A00"/>
    <w:rsid w:val="008C2494"/>
    <w:rsid w:val="008F1BD0"/>
    <w:rsid w:val="00933007"/>
    <w:rsid w:val="009362E1"/>
    <w:rsid w:val="00961F09"/>
    <w:rsid w:val="009D41BD"/>
    <w:rsid w:val="009D69E1"/>
    <w:rsid w:val="00A00945"/>
    <w:rsid w:val="00AB67D2"/>
    <w:rsid w:val="00AE5194"/>
    <w:rsid w:val="00AF44DB"/>
    <w:rsid w:val="00B255F0"/>
    <w:rsid w:val="00B8266B"/>
    <w:rsid w:val="00BD6A68"/>
    <w:rsid w:val="00C22B82"/>
    <w:rsid w:val="00C76051"/>
    <w:rsid w:val="00D318E2"/>
    <w:rsid w:val="00DC4B2E"/>
    <w:rsid w:val="00DD350A"/>
    <w:rsid w:val="00E02761"/>
    <w:rsid w:val="00E230DC"/>
    <w:rsid w:val="00E80D49"/>
    <w:rsid w:val="00EE4EA4"/>
    <w:rsid w:val="00F24B55"/>
    <w:rsid w:val="00F405C5"/>
    <w:rsid w:val="00FB5809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45AE1BD-820F-45D5-98CD-48B846CA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1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201CE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33007"/>
    <w:pPr>
      <w:spacing w:after="0" w:line="240" w:lineRule="auto"/>
      <w:jc w:val="left"/>
    </w:pPr>
    <w:rPr>
      <w:rFonts w:ascii="Arial" w:eastAsiaTheme="minorHAnsi" w:hAnsi="Arial" w:cstheme="minorBidi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33007"/>
    <w:rPr>
      <w:rFonts w:ascii="Arial" w:eastAsiaTheme="minorHAnsi" w:hAnsi="Arial" w:cstheme="minorBidi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Megan Buckley</cp:lastModifiedBy>
  <cp:revision>6</cp:revision>
  <dcterms:created xsi:type="dcterms:W3CDTF">2018-03-14T23:16:00Z</dcterms:created>
  <dcterms:modified xsi:type="dcterms:W3CDTF">2018-04-18T00:20:00Z</dcterms:modified>
</cp:coreProperties>
</file>