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316B68" w:rsidP="002A4BA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69504" behindDoc="1" locked="0" layoutInCell="1" allowOverlap="1" wp14:anchorId="5BF7F0C1" wp14:editId="44033A71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EF">
        <w:t>Decision document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43"/>
        <w:gridCol w:w="6967"/>
      </w:tblGrid>
      <w:tr w:rsidR="0012516F" w:rsidTr="0028305B">
        <w:tc>
          <w:tcPr>
            <w:tcW w:w="2043" w:type="dxa"/>
          </w:tcPr>
          <w:p w:rsidR="0012516F" w:rsidRPr="0012516F" w:rsidRDefault="0012516F" w:rsidP="007036A6">
            <w:pPr>
              <w:rPr>
                <w:b/>
              </w:rPr>
            </w:pPr>
            <w:r w:rsidRPr="0012516F">
              <w:rPr>
                <w:b/>
              </w:rPr>
              <w:t>Date:</w:t>
            </w:r>
          </w:p>
        </w:tc>
        <w:tc>
          <w:tcPr>
            <w:tcW w:w="6967" w:type="dxa"/>
          </w:tcPr>
          <w:p w:rsidR="0012516F" w:rsidRDefault="0012516F" w:rsidP="007036A6"/>
        </w:tc>
      </w:tr>
      <w:tr w:rsidR="0012516F" w:rsidTr="0028305B">
        <w:tc>
          <w:tcPr>
            <w:tcW w:w="2043" w:type="dxa"/>
          </w:tcPr>
          <w:p w:rsidR="0012516F" w:rsidRPr="0012516F" w:rsidRDefault="0012516F" w:rsidP="007036A6">
            <w:pPr>
              <w:rPr>
                <w:b/>
              </w:rPr>
            </w:pPr>
            <w:r w:rsidRPr="0012516F">
              <w:rPr>
                <w:b/>
              </w:rPr>
              <w:t>From:</w:t>
            </w:r>
          </w:p>
        </w:tc>
        <w:tc>
          <w:tcPr>
            <w:tcW w:w="6967" w:type="dxa"/>
          </w:tcPr>
          <w:p w:rsidR="0012516F" w:rsidRDefault="0012516F" w:rsidP="00A33FC0">
            <w:r>
              <w:t xml:space="preserve">CCDM </w:t>
            </w:r>
            <w:r w:rsidR="00A33FC0">
              <w:t>c</w:t>
            </w:r>
            <w:r>
              <w:t xml:space="preserve">ouncil </w:t>
            </w:r>
          </w:p>
        </w:tc>
      </w:tr>
      <w:tr w:rsidR="0012516F" w:rsidTr="0028305B">
        <w:tc>
          <w:tcPr>
            <w:tcW w:w="2043" w:type="dxa"/>
          </w:tcPr>
          <w:p w:rsidR="0012516F" w:rsidRPr="0012516F" w:rsidRDefault="0012516F" w:rsidP="007036A6">
            <w:pPr>
              <w:rPr>
                <w:b/>
              </w:rPr>
            </w:pPr>
            <w:r w:rsidRPr="0012516F">
              <w:rPr>
                <w:b/>
              </w:rPr>
              <w:t>To:</w:t>
            </w:r>
          </w:p>
        </w:tc>
        <w:tc>
          <w:tcPr>
            <w:tcW w:w="6967" w:type="dxa"/>
          </w:tcPr>
          <w:p w:rsidR="0012516F" w:rsidRDefault="0012516F" w:rsidP="007036A6">
            <w:r w:rsidRPr="0028305B">
              <w:rPr>
                <w:highlight w:val="lightGray"/>
              </w:rPr>
              <w:t>&lt;Ward/unit/directorate/service&gt;</w:t>
            </w:r>
          </w:p>
        </w:tc>
      </w:tr>
      <w:tr w:rsidR="0012516F" w:rsidTr="0028305B">
        <w:tc>
          <w:tcPr>
            <w:tcW w:w="2043" w:type="dxa"/>
          </w:tcPr>
          <w:p w:rsidR="0012516F" w:rsidRPr="0012516F" w:rsidRDefault="0012516F" w:rsidP="007036A6">
            <w:pPr>
              <w:rPr>
                <w:b/>
              </w:rPr>
            </w:pPr>
            <w:r w:rsidRPr="0012516F">
              <w:rPr>
                <w:b/>
              </w:rPr>
              <w:t>Subject:</w:t>
            </w:r>
          </w:p>
        </w:tc>
        <w:tc>
          <w:tcPr>
            <w:tcW w:w="6967" w:type="dxa"/>
          </w:tcPr>
          <w:p w:rsidR="0012516F" w:rsidRDefault="0012516F" w:rsidP="00A33FC0">
            <w:r>
              <w:t xml:space="preserve">Decision from </w:t>
            </w:r>
            <w:r w:rsidRPr="0028305B">
              <w:rPr>
                <w:highlight w:val="lightGray"/>
              </w:rPr>
              <w:t xml:space="preserve">&lt;FTE </w:t>
            </w:r>
            <w:r w:rsidR="00A33FC0">
              <w:rPr>
                <w:highlight w:val="lightGray"/>
              </w:rPr>
              <w:t>c</w:t>
            </w:r>
            <w:r w:rsidRPr="0028305B">
              <w:rPr>
                <w:highlight w:val="lightGray"/>
              </w:rPr>
              <w:t>alculation/work analysis results</w:t>
            </w:r>
            <w:r w:rsidR="00A33FC0">
              <w:rPr>
                <w:highlight w:val="lightGray"/>
              </w:rPr>
              <w:t>/other</w:t>
            </w:r>
            <w:r w:rsidRPr="0028305B">
              <w:rPr>
                <w:highlight w:val="lightGray"/>
              </w:rPr>
              <w:t>&gt;</w:t>
            </w:r>
          </w:p>
        </w:tc>
      </w:tr>
    </w:tbl>
    <w:p w:rsidR="0012516F" w:rsidRDefault="0012516F" w:rsidP="0012516F"/>
    <w:p w:rsidR="00E237EF" w:rsidRPr="00E237EF" w:rsidRDefault="00E237EF" w:rsidP="00E237EF">
      <w:pPr>
        <w:shd w:val="clear" w:color="auto" w:fill="D9D9D9" w:themeFill="background1" w:themeFillShade="D9"/>
      </w:pPr>
      <w:r w:rsidRPr="00E237EF">
        <w:t>&lt;This document template is for use when communicating decision</w:t>
      </w:r>
      <w:r w:rsidR="00A30313">
        <w:t>s</w:t>
      </w:r>
      <w:r w:rsidRPr="00E237EF">
        <w:t xml:space="preserve"> from the CCDM council to s</w:t>
      </w:r>
      <w:r w:rsidR="00A30313">
        <w:t>t</w:t>
      </w:r>
      <w:r w:rsidRPr="00E237EF">
        <w:t>aff. It can be used to communicate decisions resulting from</w:t>
      </w:r>
    </w:p>
    <w:p w:rsidR="00E237EF" w:rsidRPr="00E237EF" w:rsidRDefault="00E237EF" w:rsidP="00E237EF">
      <w:pPr>
        <w:pStyle w:val="ListParagraph"/>
        <w:numPr>
          <w:ilvl w:val="0"/>
          <w:numId w:val="8"/>
        </w:numPr>
        <w:shd w:val="clear" w:color="auto" w:fill="D9D9D9" w:themeFill="background1" w:themeFillShade="D9"/>
      </w:pPr>
      <w:r w:rsidRPr="00E237EF">
        <w:t>Assessments (e.g. standards assessment, partnership assessment)</w:t>
      </w:r>
    </w:p>
    <w:p w:rsidR="00E237EF" w:rsidRPr="00E237EF" w:rsidRDefault="00E237EF" w:rsidP="00E237EF">
      <w:pPr>
        <w:pStyle w:val="ListParagraph"/>
        <w:numPr>
          <w:ilvl w:val="0"/>
          <w:numId w:val="8"/>
        </w:numPr>
        <w:shd w:val="clear" w:color="auto" w:fill="D9D9D9" w:themeFill="background1" w:themeFillShade="D9"/>
      </w:pPr>
      <w:r w:rsidRPr="00E237EF">
        <w:t>Stocktake findings (e.g. FTE calculation, variance response management, core data set)</w:t>
      </w:r>
    </w:p>
    <w:p w:rsidR="00E237EF" w:rsidRPr="00E237EF" w:rsidRDefault="00E237EF" w:rsidP="00E237EF">
      <w:pPr>
        <w:pStyle w:val="ListParagraph"/>
        <w:numPr>
          <w:ilvl w:val="0"/>
          <w:numId w:val="8"/>
        </w:numPr>
        <w:shd w:val="clear" w:color="auto" w:fill="D9D9D9" w:themeFill="background1" w:themeFillShade="D9"/>
      </w:pPr>
      <w:r w:rsidRPr="00E237EF">
        <w:t>Reports (e.g. FTE calculations, work analysis)</w:t>
      </w:r>
    </w:p>
    <w:p w:rsidR="00E237EF" w:rsidRPr="00E237EF" w:rsidRDefault="00E237EF" w:rsidP="00E237EF">
      <w:pPr>
        <w:shd w:val="clear" w:color="auto" w:fill="D9D9D9" w:themeFill="background1" w:themeFillShade="D9"/>
        <w:rPr>
          <w:b/>
        </w:rPr>
      </w:pPr>
      <w:r w:rsidRPr="00E237EF">
        <w:rPr>
          <w:b/>
        </w:rPr>
        <w:t>For example&gt;</w:t>
      </w:r>
    </w:p>
    <w:p w:rsidR="0012516F" w:rsidRDefault="0012516F" w:rsidP="00E237EF">
      <w:r w:rsidRPr="007E205D">
        <w:t>The following recomme</w:t>
      </w:r>
      <w:r>
        <w:t xml:space="preserve">ndations have </w:t>
      </w:r>
      <w:r w:rsidRPr="00625180">
        <w:t>been</w:t>
      </w:r>
      <w:r>
        <w:t xml:space="preserve"> </w:t>
      </w:r>
      <w:r w:rsidRPr="00E237EF">
        <w:rPr>
          <w:b/>
        </w:rPr>
        <w:t>accepted</w:t>
      </w:r>
      <w:r>
        <w:t xml:space="preserve"> for</w:t>
      </w:r>
      <w:r w:rsidRPr="007E205D">
        <w:t xml:space="preserve"> implementat</w:t>
      </w:r>
      <w:r w:rsidR="00A30313">
        <w:t>ion by the CCDM c</w:t>
      </w:r>
      <w:r>
        <w:t xml:space="preserve">ouncil. These should be actioned by the </w:t>
      </w:r>
      <w:r w:rsidRPr="00E237EF">
        <w:rPr>
          <w:highlight w:val="lightGray"/>
        </w:rPr>
        <w:t>&lt;ward/directorate/service&gt;</w:t>
      </w:r>
      <w:r>
        <w:t xml:space="preserve"> and p</w:t>
      </w:r>
      <w:r w:rsidR="00A30313">
        <w:t>rogress reported to the CCDM c</w:t>
      </w:r>
      <w:r>
        <w:t>ouncil</w:t>
      </w:r>
      <w:r w:rsidRPr="002537A8">
        <w:t xml:space="preserve"> </w:t>
      </w:r>
      <w:r>
        <w:t>on a quarterly basis.</w:t>
      </w:r>
    </w:p>
    <w:p w:rsidR="0012516F" w:rsidRPr="00E237EF" w:rsidRDefault="0012516F" w:rsidP="0012516F">
      <w:r w:rsidRPr="002537A8">
        <w:rPr>
          <w:highlight w:val="lightGray"/>
        </w:rPr>
        <w:t xml:space="preserve">&lt;List recommendations from the report that have </w:t>
      </w:r>
      <w:r w:rsidR="00E237EF">
        <w:rPr>
          <w:highlight w:val="lightGray"/>
        </w:rPr>
        <w:t>been accepted.</w:t>
      </w:r>
      <w:r w:rsidR="00E237EF">
        <w:t xml:space="preserve"> </w:t>
      </w:r>
      <w:r w:rsidRPr="002537A8">
        <w:rPr>
          <w:highlight w:val="lightGray"/>
        </w:rPr>
        <w:t>E.g.</w:t>
      </w:r>
    </w:p>
    <w:p w:rsidR="0012516F" w:rsidRPr="002537A8" w:rsidRDefault="0012516F" w:rsidP="0012516F">
      <w:pPr>
        <w:pStyle w:val="Bullets"/>
        <w:numPr>
          <w:ilvl w:val="0"/>
          <w:numId w:val="7"/>
        </w:numPr>
        <w:ind w:left="360"/>
        <w:rPr>
          <w:noProof/>
          <w:highlight w:val="lightGray"/>
          <w:lang w:eastAsia="en-NZ"/>
        </w:rPr>
      </w:pPr>
      <w:r w:rsidRPr="002537A8">
        <w:rPr>
          <w:noProof/>
          <w:highlight w:val="lightGray"/>
          <w:lang w:eastAsia="en-NZ"/>
        </w:rPr>
        <w:t xml:space="preserve">Increase the budgeted FTE by 1.54 FTE. </w:t>
      </w:r>
    </w:p>
    <w:p w:rsidR="0012516F" w:rsidRPr="002537A8" w:rsidRDefault="0012516F" w:rsidP="0012516F">
      <w:pPr>
        <w:pStyle w:val="Bullets"/>
        <w:numPr>
          <w:ilvl w:val="0"/>
          <w:numId w:val="7"/>
        </w:numPr>
        <w:ind w:left="360"/>
        <w:rPr>
          <w:noProof/>
          <w:highlight w:val="lightGray"/>
          <w:lang w:eastAsia="en-NZ"/>
        </w:rPr>
      </w:pPr>
      <w:r w:rsidRPr="002537A8">
        <w:rPr>
          <w:noProof/>
          <w:highlight w:val="lightGray"/>
          <w:lang w:eastAsia="en-NZ"/>
        </w:rPr>
        <w:t>Implement the recommended roster model with an increase in HCA resource on night shifts.</w:t>
      </w:r>
    </w:p>
    <w:p w:rsidR="0012516F" w:rsidRPr="002537A8" w:rsidRDefault="0012516F" w:rsidP="0012516F">
      <w:pPr>
        <w:pStyle w:val="Bullets"/>
        <w:numPr>
          <w:ilvl w:val="0"/>
          <w:numId w:val="7"/>
        </w:numPr>
        <w:ind w:left="360"/>
        <w:rPr>
          <w:noProof/>
          <w:highlight w:val="lightGray"/>
          <w:lang w:eastAsia="en-NZ"/>
        </w:rPr>
      </w:pPr>
      <w:r>
        <w:rPr>
          <w:noProof/>
          <w:highlight w:val="lightGray"/>
          <w:lang w:eastAsia="en-NZ"/>
        </w:rPr>
        <w:t>Use swing shifts to straddle the</w:t>
      </w:r>
      <w:r w:rsidRPr="002537A8">
        <w:rPr>
          <w:noProof/>
          <w:highlight w:val="lightGray"/>
          <w:lang w:eastAsia="en-NZ"/>
        </w:rPr>
        <w:t xml:space="preserve"> AM and PM </w:t>
      </w:r>
      <w:r>
        <w:rPr>
          <w:noProof/>
          <w:highlight w:val="lightGray"/>
          <w:lang w:eastAsia="en-NZ"/>
        </w:rPr>
        <w:t>in</w:t>
      </w:r>
      <w:r w:rsidRPr="002537A8">
        <w:rPr>
          <w:noProof/>
          <w:highlight w:val="lightGray"/>
          <w:lang w:eastAsia="en-NZ"/>
        </w:rPr>
        <w:t xml:space="preserve"> support </w:t>
      </w:r>
      <w:r>
        <w:rPr>
          <w:noProof/>
          <w:highlight w:val="lightGray"/>
          <w:lang w:eastAsia="en-NZ"/>
        </w:rPr>
        <w:t xml:space="preserve">of </w:t>
      </w:r>
      <w:r w:rsidRPr="002537A8">
        <w:rPr>
          <w:noProof/>
          <w:highlight w:val="lightGray"/>
          <w:lang w:eastAsia="en-NZ"/>
        </w:rPr>
        <w:t xml:space="preserve">peak periods of activity identified in the Work Analysis. </w:t>
      </w:r>
    </w:p>
    <w:p w:rsidR="0012516F" w:rsidRPr="002537A8" w:rsidRDefault="0012516F" w:rsidP="0012516F">
      <w:pPr>
        <w:pStyle w:val="Bullets"/>
        <w:numPr>
          <w:ilvl w:val="0"/>
          <w:numId w:val="7"/>
        </w:numPr>
        <w:ind w:left="360"/>
        <w:rPr>
          <w:noProof/>
          <w:highlight w:val="lightGray"/>
          <w:lang w:eastAsia="en-NZ"/>
        </w:rPr>
      </w:pPr>
      <w:r w:rsidRPr="002537A8">
        <w:rPr>
          <w:noProof/>
          <w:highlight w:val="lightGray"/>
          <w:lang w:eastAsia="en-NZ"/>
        </w:rPr>
        <w:t xml:space="preserve">Implement a core data set to monitor the impact over time of any changes implimented. </w:t>
      </w:r>
    </w:p>
    <w:p w:rsidR="0012516F" w:rsidRDefault="0012516F" w:rsidP="0012516F">
      <w:pPr>
        <w:pStyle w:val="Bullets"/>
        <w:numPr>
          <w:ilvl w:val="0"/>
          <w:numId w:val="7"/>
        </w:numPr>
        <w:ind w:left="360"/>
        <w:rPr>
          <w:noProof/>
          <w:highlight w:val="lightGray"/>
          <w:lang w:eastAsia="en-NZ"/>
        </w:rPr>
      </w:pPr>
      <w:r w:rsidRPr="002537A8">
        <w:rPr>
          <w:noProof/>
          <w:highlight w:val="lightGray"/>
          <w:lang w:eastAsia="en-NZ"/>
        </w:rPr>
        <w:t>Repeat the FTE calculation annually using the CCDM meth</w:t>
      </w:r>
      <w:r w:rsidR="00A30313">
        <w:rPr>
          <w:noProof/>
          <w:highlight w:val="lightGray"/>
          <w:lang w:eastAsia="en-NZ"/>
        </w:rPr>
        <w:t>o</w:t>
      </w:r>
      <w:r w:rsidRPr="002537A8">
        <w:rPr>
          <w:noProof/>
          <w:highlight w:val="lightGray"/>
          <w:lang w:eastAsia="en-NZ"/>
        </w:rPr>
        <w:t>dology.</w:t>
      </w:r>
    </w:p>
    <w:p w:rsidR="0012516F" w:rsidRDefault="0012516F" w:rsidP="0012516F">
      <w:pPr>
        <w:pStyle w:val="Bullets"/>
        <w:numPr>
          <w:ilvl w:val="0"/>
          <w:numId w:val="0"/>
        </w:numPr>
        <w:rPr>
          <w:noProof/>
          <w:highlight w:val="lightGray"/>
          <w:lang w:eastAsia="en-NZ"/>
        </w:rPr>
      </w:pPr>
    </w:p>
    <w:p w:rsidR="0012516F" w:rsidRDefault="0012516F" w:rsidP="0012516F">
      <w:pPr>
        <w:pStyle w:val="Bullets"/>
        <w:numPr>
          <w:ilvl w:val="0"/>
          <w:numId w:val="0"/>
        </w:numPr>
        <w:rPr>
          <w:noProof/>
          <w:highlight w:val="lightGray"/>
          <w:lang w:eastAsia="en-NZ"/>
        </w:rPr>
      </w:pPr>
      <w:r>
        <w:rPr>
          <w:noProof/>
          <w:highlight w:val="lightGray"/>
          <w:lang w:eastAsia="en-NZ"/>
        </w:rPr>
        <w:t>In addition to the recommendat</w:t>
      </w:r>
      <w:r w:rsidR="00A30313">
        <w:rPr>
          <w:noProof/>
          <w:highlight w:val="lightGray"/>
          <w:lang w:eastAsia="en-NZ"/>
        </w:rPr>
        <w:t>ions from the report, the CCDM c</w:t>
      </w:r>
      <w:r>
        <w:rPr>
          <w:noProof/>
          <w:highlight w:val="lightGray"/>
          <w:lang w:eastAsia="en-NZ"/>
        </w:rPr>
        <w:t>ouncil have agreed the following actions:</w:t>
      </w:r>
    </w:p>
    <w:p w:rsidR="0012516F" w:rsidRDefault="0012516F" w:rsidP="0012516F">
      <w:pPr>
        <w:pStyle w:val="Bullets"/>
        <w:numPr>
          <w:ilvl w:val="0"/>
          <w:numId w:val="0"/>
        </w:numPr>
        <w:rPr>
          <w:noProof/>
          <w:highlight w:val="lightGray"/>
          <w:lang w:eastAsia="en-NZ"/>
        </w:rPr>
      </w:pPr>
    </w:p>
    <w:p w:rsidR="0012516F" w:rsidRDefault="0012516F" w:rsidP="0012516F">
      <w:pPr>
        <w:pStyle w:val="Bullets"/>
        <w:numPr>
          <w:ilvl w:val="0"/>
          <w:numId w:val="0"/>
        </w:numPr>
      </w:pPr>
      <w:r w:rsidRPr="004A532E">
        <w:rPr>
          <w:noProof/>
          <w:highlight w:val="lightGray"/>
          <w:lang w:eastAsia="en-NZ"/>
        </w:rPr>
        <w:t xml:space="preserve">The following </w:t>
      </w:r>
      <w:r w:rsidRPr="004A532E">
        <w:rPr>
          <w:highlight w:val="lightGray"/>
        </w:rPr>
        <w:t xml:space="preserve">have </w:t>
      </w:r>
      <w:r w:rsidRPr="004A532E">
        <w:rPr>
          <w:b/>
          <w:highlight w:val="lightGray"/>
        </w:rPr>
        <w:t>not been</w:t>
      </w:r>
      <w:r w:rsidRPr="004A532E">
        <w:rPr>
          <w:highlight w:val="lightGray"/>
        </w:rPr>
        <w:t xml:space="preserve"> accepted for implementation by the CCDM </w:t>
      </w:r>
      <w:r w:rsidR="00A30313">
        <w:rPr>
          <w:highlight w:val="lightGray"/>
        </w:rPr>
        <w:t>c</w:t>
      </w:r>
      <w:r w:rsidR="00E237EF">
        <w:rPr>
          <w:highlight w:val="lightGray"/>
        </w:rPr>
        <w:t xml:space="preserve">ouncil. The reason for this is </w:t>
      </w:r>
      <w:r w:rsidR="00A30313">
        <w:rPr>
          <w:highlight w:val="lightGray"/>
        </w:rPr>
        <w:t>&lt;</w:t>
      </w:r>
      <w:r w:rsidRPr="004A532E">
        <w:rPr>
          <w:highlight w:val="lightGray"/>
        </w:rPr>
        <w:t>provide rationale&gt;.</w:t>
      </w:r>
    </w:p>
    <w:p w:rsidR="0012516F" w:rsidRDefault="0012516F" w:rsidP="0012516F">
      <w:pPr>
        <w:pStyle w:val="Bullets"/>
        <w:numPr>
          <w:ilvl w:val="0"/>
          <w:numId w:val="0"/>
        </w:numPr>
        <w:rPr>
          <w:noProof/>
          <w:highlight w:val="lightGray"/>
          <w:lang w:eastAsia="en-NZ"/>
        </w:rPr>
      </w:pPr>
    </w:p>
    <w:p w:rsidR="0012516F" w:rsidRDefault="00D649BB" w:rsidP="0012516F">
      <w:pPr>
        <w:pStyle w:val="Bullets"/>
        <w:numPr>
          <w:ilvl w:val="0"/>
          <w:numId w:val="0"/>
        </w:numPr>
        <w:rPr>
          <w:noProof/>
          <w:highlight w:val="lightGray"/>
          <w:lang w:eastAsia="en-NZ"/>
        </w:rPr>
      </w:pPr>
      <w:r w:rsidRPr="00D649BB">
        <w:rPr>
          <w:noProof/>
          <w:lang w:eastAsia="en-NZ"/>
        </w:rPr>
        <w:t xml:space="preserve">For full details please refer to the </w:t>
      </w:r>
      <w:r w:rsidRPr="00A33FC0">
        <w:rPr>
          <w:noProof/>
          <w:highlight w:val="lightGray"/>
          <w:lang w:eastAsia="en-NZ"/>
        </w:rPr>
        <w:t>&lt;</w:t>
      </w:r>
      <w:r w:rsidR="006F1695" w:rsidRPr="00A33FC0">
        <w:rPr>
          <w:noProof/>
          <w:highlight w:val="lightGray"/>
          <w:lang w:eastAsia="en-NZ"/>
        </w:rPr>
        <w:t xml:space="preserve">FTE </w:t>
      </w:r>
      <w:r w:rsidR="00A33FC0" w:rsidRPr="00A33FC0">
        <w:rPr>
          <w:noProof/>
          <w:highlight w:val="lightGray"/>
          <w:lang w:eastAsia="en-NZ"/>
        </w:rPr>
        <w:t>c</w:t>
      </w:r>
      <w:r w:rsidR="006F1695" w:rsidRPr="00A33FC0">
        <w:rPr>
          <w:noProof/>
          <w:highlight w:val="lightGray"/>
          <w:lang w:eastAsia="en-NZ"/>
        </w:rPr>
        <w:t>alcula</w:t>
      </w:r>
      <w:r w:rsidRPr="00A33FC0">
        <w:rPr>
          <w:noProof/>
          <w:highlight w:val="lightGray"/>
          <w:lang w:eastAsia="en-NZ"/>
        </w:rPr>
        <w:t>t</w:t>
      </w:r>
      <w:r w:rsidR="006F1695" w:rsidRPr="00A33FC0">
        <w:rPr>
          <w:noProof/>
          <w:highlight w:val="lightGray"/>
          <w:lang w:eastAsia="en-NZ"/>
        </w:rPr>
        <w:t>i</w:t>
      </w:r>
      <w:r w:rsidRPr="00A33FC0">
        <w:rPr>
          <w:noProof/>
          <w:highlight w:val="lightGray"/>
          <w:lang w:eastAsia="en-NZ"/>
        </w:rPr>
        <w:t xml:space="preserve">on </w:t>
      </w:r>
      <w:r w:rsidR="00A33FC0" w:rsidRPr="00A33FC0">
        <w:rPr>
          <w:noProof/>
          <w:highlight w:val="lightGray"/>
          <w:lang w:eastAsia="en-NZ"/>
        </w:rPr>
        <w:t>r</w:t>
      </w:r>
      <w:r w:rsidRPr="00A33FC0">
        <w:rPr>
          <w:noProof/>
          <w:highlight w:val="lightGray"/>
          <w:lang w:eastAsia="en-NZ"/>
        </w:rPr>
        <w:t>eport/</w:t>
      </w:r>
      <w:r w:rsidR="00A33FC0" w:rsidRPr="00A33FC0">
        <w:rPr>
          <w:noProof/>
          <w:highlight w:val="lightGray"/>
          <w:lang w:eastAsia="en-NZ"/>
        </w:rPr>
        <w:t>w</w:t>
      </w:r>
      <w:r w:rsidRPr="00A33FC0">
        <w:rPr>
          <w:noProof/>
          <w:highlight w:val="lightGray"/>
          <w:lang w:eastAsia="en-NZ"/>
        </w:rPr>
        <w:t xml:space="preserve">ork </w:t>
      </w:r>
      <w:r w:rsidR="00A33FC0" w:rsidRPr="00A33FC0">
        <w:rPr>
          <w:noProof/>
          <w:highlight w:val="lightGray"/>
          <w:lang w:eastAsia="en-NZ"/>
        </w:rPr>
        <w:t>a</w:t>
      </w:r>
      <w:r w:rsidRPr="00A33FC0">
        <w:rPr>
          <w:noProof/>
          <w:highlight w:val="lightGray"/>
          <w:lang w:eastAsia="en-NZ"/>
        </w:rPr>
        <w:t xml:space="preserve">nalysis </w:t>
      </w:r>
      <w:r w:rsidR="00A33FC0" w:rsidRPr="00A33FC0">
        <w:rPr>
          <w:noProof/>
          <w:highlight w:val="lightGray"/>
          <w:lang w:eastAsia="en-NZ"/>
        </w:rPr>
        <w:t>r</w:t>
      </w:r>
      <w:r w:rsidRPr="00A33FC0">
        <w:rPr>
          <w:noProof/>
          <w:highlight w:val="lightGray"/>
          <w:lang w:eastAsia="en-NZ"/>
        </w:rPr>
        <w:t>eport for ward/unit</w:t>
      </w:r>
      <w:r w:rsidR="00A33FC0" w:rsidRPr="00A33FC0">
        <w:rPr>
          <w:noProof/>
          <w:highlight w:val="lightGray"/>
          <w:lang w:eastAsia="en-NZ"/>
        </w:rPr>
        <w:t>/other</w:t>
      </w:r>
      <w:r w:rsidRPr="00A33FC0">
        <w:rPr>
          <w:noProof/>
          <w:highlight w:val="lightGray"/>
          <w:lang w:eastAsia="en-NZ"/>
        </w:rPr>
        <w:t xml:space="preserve">&gt;. </w:t>
      </w:r>
      <w:r w:rsidR="0012516F" w:rsidRPr="00A33FC0">
        <w:rPr>
          <w:noProof/>
          <w:highlight w:val="lightGray"/>
          <w:lang w:eastAsia="en-NZ"/>
        </w:rPr>
        <w:t>If you have any queries about the decisions outlined in this document please contact &lt;name and contact details&gt;</w:t>
      </w:r>
      <w:r w:rsidR="0012516F" w:rsidRPr="00A33FC0">
        <w:rPr>
          <w:noProof/>
          <w:lang w:eastAsia="en-NZ"/>
        </w:rPr>
        <w:t>.</w:t>
      </w:r>
    </w:p>
    <w:p w:rsidR="0012516F" w:rsidRDefault="0012516F" w:rsidP="0012516F">
      <w:pPr>
        <w:pStyle w:val="Bullets"/>
        <w:numPr>
          <w:ilvl w:val="0"/>
          <w:numId w:val="0"/>
        </w:numPr>
        <w:rPr>
          <w:noProof/>
          <w:highlight w:val="lightGray"/>
          <w:lang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12516F" w:rsidTr="0012516F">
        <w:tc>
          <w:tcPr>
            <w:tcW w:w="4618" w:type="dxa"/>
          </w:tcPr>
          <w:p w:rsidR="0012516F" w:rsidRDefault="0012516F" w:rsidP="0012516F">
            <w:pPr>
              <w:pStyle w:val="Bullets"/>
              <w:numPr>
                <w:ilvl w:val="0"/>
                <w:numId w:val="0"/>
              </w:numPr>
              <w:rPr>
                <w:noProof/>
                <w:highlight w:val="lightGray"/>
                <w:lang w:eastAsia="en-NZ"/>
              </w:rPr>
            </w:pPr>
            <w:r>
              <w:rPr>
                <w:noProof/>
                <w:highlight w:val="lightGray"/>
                <w:lang w:eastAsia="en-NZ"/>
              </w:rPr>
              <w:t>&lt;Signature&gt;</w:t>
            </w:r>
          </w:p>
        </w:tc>
        <w:tc>
          <w:tcPr>
            <w:tcW w:w="4618" w:type="dxa"/>
          </w:tcPr>
          <w:p w:rsidR="0012516F" w:rsidRDefault="0012516F" w:rsidP="0012516F">
            <w:pPr>
              <w:pStyle w:val="Bullets"/>
              <w:numPr>
                <w:ilvl w:val="0"/>
                <w:numId w:val="0"/>
              </w:numPr>
              <w:rPr>
                <w:noProof/>
                <w:highlight w:val="lightGray"/>
                <w:lang w:eastAsia="en-NZ"/>
              </w:rPr>
            </w:pPr>
            <w:r>
              <w:rPr>
                <w:noProof/>
                <w:highlight w:val="lightGray"/>
                <w:lang w:eastAsia="en-NZ"/>
              </w:rPr>
              <w:t>&lt;Signature&gt;</w:t>
            </w:r>
          </w:p>
        </w:tc>
      </w:tr>
      <w:tr w:rsidR="0012516F" w:rsidTr="0012516F">
        <w:tc>
          <w:tcPr>
            <w:tcW w:w="4618" w:type="dxa"/>
          </w:tcPr>
          <w:p w:rsidR="0012516F" w:rsidRDefault="0012516F" w:rsidP="0012516F">
            <w:pPr>
              <w:pStyle w:val="Bullets"/>
              <w:numPr>
                <w:ilvl w:val="0"/>
                <w:numId w:val="0"/>
              </w:numPr>
              <w:rPr>
                <w:noProof/>
                <w:highlight w:val="lightGray"/>
                <w:lang w:eastAsia="en-NZ"/>
              </w:rPr>
            </w:pPr>
            <w:r>
              <w:rPr>
                <w:noProof/>
                <w:highlight w:val="lightGray"/>
                <w:lang w:eastAsia="en-NZ"/>
              </w:rPr>
              <w:t>&lt;Name&gt;</w:t>
            </w:r>
          </w:p>
        </w:tc>
        <w:tc>
          <w:tcPr>
            <w:tcW w:w="4618" w:type="dxa"/>
          </w:tcPr>
          <w:p w:rsidR="0012516F" w:rsidRDefault="0012516F" w:rsidP="0012516F">
            <w:pPr>
              <w:pStyle w:val="Bullets"/>
              <w:numPr>
                <w:ilvl w:val="0"/>
                <w:numId w:val="0"/>
              </w:numPr>
              <w:rPr>
                <w:noProof/>
                <w:highlight w:val="lightGray"/>
                <w:lang w:eastAsia="en-NZ"/>
              </w:rPr>
            </w:pPr>
            <w:r>
              <w:rPr>
                <w:noProof/>
                <w:highlight w:val="lightGray"/>
                <w:lang w:eastAsia="en-NZ"/>
              </w:rPr>
              <w:t>&lt;Name&gt;</w:t>
            </w:r>
          </w:p>
        </w:tc>
      </w:tr>
      <w:tr w:rsidR="0012516F" w:rsidTr="0012516F">
        <w:tc>
          <w:tcPr>
            <w:tcW w:w="4618" w:type="dxa"/>
          </w:tcPr>
          <w:p w:rsidR="0012516F" w:rsidRDefault="00A30313" w:rsidP="0012516F">
            <w:pPr>
              <w:pStyle w:val="Bullets"/>
              <w:numPr>
                <w:ilvl w:val="0"/>
                <w:numId w:val="0"/>
              </w:numPr>
              <w:rPr>
                <w:noProof/>
                <w:highlight w:val="lightGray"/>
                <w:lang w:eastAsia="en-NZ"/>
              </w:rPr>
            </w:pPr>
            <w:r>
              <w:rPr>
                <w:noProof/>
                <w:highlight w:val="lightGray"/>
                <w:lang w:eastAsia="en-NZ"/>
              </w:rPr>
              <w:t>&lt;Co-Chair CCDM c</w:t>
            </w:r>
            <w:r w:rsidR="0012516F">
              <w:rPr>
                <w:noProof/>
                <w:highlight w:val="lightGray"/>
                <w:lang w:eastAsia="en-NZ"/>
              </w:rPr>
              <w:t>ouncil&gt;</w:t>
            </w:r>
          </w:p>
        </w:tc>
        <w:tc>
          <w:tcPr>
            <w:tcW w:w="4618" w:type="dxa"/>
          </w:tcPr>
          <w:p w:rsidR="0012516F" w:rsidRDefault="00A30313" w:rsidP="0012516F">
            <w:pPr>
              <w:pStyle w:val="Bullets"/>
              <w:numPr>
                <w:ilvl w:val="0"/>
                <w:numId w:val="0"/>
              </w:numPr>
              <w:rPr>
                <w:noProof/>
                <w:highlight w:val="lightGray"/>
                <w:lang w:eastAsia="en-NZ"/>
              </w:rPr>
            </w:pPr>
            <w:r>
              <w:rPr>
                <w:noProof/>
                <w:highlight w:val="lightGray"/>
                <w:lang w:eastAsia="en-NZ"/>
              </w:rPr>
              <w:t>&lt;Co-Chair CCDM c</w:t>
            </w:r>
            <w:r w:rsidR="0012516F">
              <w:rPr>
                <w:noProof/>
                <w:highlight w:val="lightGray"/>
                <w:lang w:eastAsia="en-NZ"/>
              </w:rPr>
              <w:t>ouncil&gt;</w:t>
            </w:r>
          </w:p>
        </w:tc>
      </w:tr>
    </w:tbl>
    <w:p w:rsidR="004E6ABD" w:rsidRDefault="004E6ABD" w:rsidP="00E237EF">
      <w:pPr>
        <w:rPr>
          <w:noProof/>
          <w:lang w:eastAsia="en-NZ"/>
        </w:rPr>
      </w:pPr>
    </w:p>
    <w:sectPr w:rsidR="004E6ABD" w:rsidSect="00AB6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6F" w:rsidRDefault="0012516F" w:rsidP="00D318E2">
      <w:r>
        <w:separator/>
      </w:r>
    </w:p>
  </w:endnote>
  <w:endnote w:type="continuationSeparator" w:id="0">
    <w:p w:rsidR="0012516F" w:rsidRDefault="0012516F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BF" w:rsidRDefault="000C5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12516F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2998834A" wp14:editId="305FA889">
          <wp:simplePos x="0" y="0"/>
          <wp:positionH relativeFrom="page">
            <wp:posOffset>255905</wp:posOffset>
          </wp:positionH>
          <wp:positionV relativeFrom="page">
            <wp:posOffset>9979863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0C57BF">
        <w:rPr>
          <w:noProof/>
        </w:rPr>
        <w:t>4.10 Decision document template_18Apr2018</w:t>
      </w:r>
    </w:fldSimple>
    <w:bookmarkStart w:id="0" w:name="_GoBack"/>
    <w:bookmarkEnd w:id="0"/>
    <w:r w:rsidR="004E6ABD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0C57BF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0C57BF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12516F" w:rsidRDefault="0012516F" w:rsidP="0012516F">
    <w:pPr>
      <w:pStyle w:val="Footer"/>
      <w:spacing w:before="120"/>
      <w:rPr>
        <w:sz w:val="18"/>
      </w:rPr>
    </w:pPr>
    <w:r w:rsidRPr="0012516F">
      <w:rPr>
        <w:sz w:val="18"/>
      </w:rPr>
      <w:t>© Ministry of Health, NZ</w:t>
    </w:r>
    <w:r w:rsidR="00E237EF">
      <w:rPr>
        <w:sz w:val="18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BF" w:rsidRDefault="000C5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6F" w:rsidRDefault="0012516F" w:rsidP="00D318E2">
      <w:r>
        <w:separator/>
      </w:r>
    </w:p>
  </w:footnote>
  <w:footnote w:type="continuationSeparator" w:id="0">
    <w:p w:rsidR="0012516F" w:rsidRDefault="0012516F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BF" w:rsidRDefault="000C5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12516F" w:rsidP="004E6ABD">
    <w:pPr>
      <w:pStyle w:val="HeaderText"/>
    </w:pPr>
    <w:r>
      <w:t>CCDM 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E237EF">
      <w:tab/>
    </w:r>
    <w:r w:rsidR="00E237EF">
      <w:tab/>
    </w:r>
    <w:r w:rsidR="002C6766">
      <w:t xml:space="preserve">CCDM </w:t>
    </w:r>
    <w:r w:rsidR="00E237EF">
      <w:t>governance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BF" w:rsidRDefault="000C5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0989"/>
    <w:multiLevelType w:val="hybridMultilevel"/>
    <w:tmpl w:val="0854F5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E3A6D"/>
    <w:multiLevelType w:val="hybridMultilevel"/>
    <w:tmpl w:val="4CD03B9E"/>
    <w:lvl w:ilvl="0" w:tplc="29226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6F"/>
    <w:rsid w:val="0005440E"/>
    <w:rsid w:val="00081AC6"/>
    <w:rsid w:val="000C57BF"/>
    <w:rsid w:val="0012516F"/>
    <w:rsid w:val="00243C09"/>
    <w:rsid w:val="0028305B"/>
    <w:rsid w:val="002A4BA0"/>
    <w:rsid w:val="002C6766"/>
    <w:rsid w:val="00316B68"/>
    <w:rsid w:val="00461375"/>
    <w:rsid w:val="004E6ABD"/>
    <w:rsid w:val="00501245"/>
    <w:rsid w:val="005824D3"/>
    <w:rsid w:val="005B7D5B"/>
    <w:rsid w:val="005E477F"/>
    <w:rsid w:val="006F1695"/>
    <w:rsid w:val="00727F68"/>
    <w:rsid w:val="007D4966"/>
    <w:rsid w:val="00803DF8"/>
    <w:rsid w:val="00837FEE"/>
    <w:rsid w:val="00893A00"/>
    <w:rsid w:val="008E61CC"/>
    <w:rsid w:val="009362E1"/>
    <w:rsid w:val="00A00945"/>
    <w:rsid w:val="00A15ACB"/>
    <w:rsid w:val="00A30313"/>
    <w:rsid w:val="00A33FC0"/>
    <w:rsid w:val="00AB67D2"/>
    <w:rsid w:val="00AE5194"/>
    <w:rsid w:val="00B255F0"/>
    <w:rsid w:val="00BD6A68"/>
    <w:rsid w:val="00C22B82"/>
    <w:rsid w:val="00C76051"/>
    <w:rsid w:val="00D318E2"/>
    <w:rsid w:val="00D649BB"/>
    <w:rsid w:val="00DC4B2E"/>
    <w:rsid w:val="00DD350A"/>
    <w:rsid w:val="00E230DC"/>
    <w:rsid w:val="00E237EF"/>
    <w:rsid w:val="00E86672"/>
    <w:rsid w:val="00EE4EA4"/>
    <w:rsid w:val="00F24B55"/>
    <w:rsid w:val="00F405C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B46F5E4-3A52-46DE-87A1-3A738278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table" w:styleId="TableGridLight">
    <w:name w:val="Grid Table Light"/>
    <w:basedOn w:val="TableNormal"/>
    <w:uiPriority w:val="40"/>
    <w:rsid w:val="001251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CCDM%20Governance%20Associat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CCDM Governance Associated Document TEMPLATE</Template>
  <TotalTime>17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Megan Buckley</cp:lastModifiedBy>
  <cp:revision>10</cp:revision>
  <dcterms:created xsi:type="dcterms:W3CDTF">2018-02-13T20:22:00Z</dcterms:created>
  <dcterms:modified xsi:type="dcterms:W3CDTF">2018-04-18T00:12:00Z</dcterms:modified>
</cp:coreProperties>
</file>