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6AD" w:rsidRDefault="00BC2BDB" w:rsidP="000406AD">
      <w:pPr>
        <w:pStyle w:val="Title"/>
      </w:pPr>
      <w:r>
        <w:rPr>
          <w:noProof/>
          <w:lang w:val="en-NZ" w:eastAsia="en-NZ"/>
        </w:rPr>
        <w:drawing>
          <wp:anchor distT="0" distB="0" distL="114300" distR="114300" simplePos="0" relativeHeight="251668480" behindDoc="1" locked="0" layoutInCell="1" allowOverlap="1" wp14:anchorId="38B6D467" wp14:editId="79CB6FC6">
            <wp:simplePos x="0" y="0"/>
            <wp:positionH relativeFrom="page">
              <wp:posOffset>255905</wp:posOffset>
            </wp:positionH>
            <wp:positionV relativeFrom="page">
              <wp:posOffset>723900</wp:posOffset>
            </wp:positionV>
            <wp:extent cx="7048800" cy="87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800" cy="878400"/>
                    </a:xfrm>
                    <a:prstGeom prst="rect">
                      <a:avLst/>
                    </a:prstGeom>
                    <a:noFill/>
                  </pic:spPr>
                </pic:pic>
              </a:graphicData>
            </a:graphic>
            <wp14:sizeRelH relativeFrom="page">
              <wp14:pctWidth>0</wp14:pctWidth>
            </wp14:sizeRelH>
            <wp14:sizeRelV relativeFrom="page">
              <wp14:pctHeight>0</wp14:pctHeight>
            </wp14:sizeRelV>
          </wp:anchor>
        </w:drawing>
      </w:r>
      <w:r w:rsidR="000406AD">
        <w:t>Variance indicat</w:t>
      </w:r>
      <w:r w:rsidR="000406AD">
        <w:rPr>
          <w:noProof/>
          <w:lang w:val="en-NZ" w:eastAsia="en-NZ"/>
        </w:rPr>
        <w:drawing>
          <wp:anchor distT="0" distB="0" distL="114300" distR="114300" simplePos="0" relativeHeight="251662336" behindDoc="1" locked="0" layoutInCell="1" allowOverlap="1" wp14:anchorId="5C076B3B" wp14:editId="23A99585">
            <wp:simplePos x="0" y="0"/>
            <wp:positionH relativeFrom="page">
              <wp:posOffset>255905</wp:posOffset>
            </wp:positionH>
            <wp:positionV relativeFrom="page">
              <wp:posOffset>723900</wp:posOffset>
            </wp:positionV>
            <wp:extent cx="7048800" cy="87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800" cy="878400"/>
                    </a:xfrm>
                    <a:prstGeom prst="rect">
                      <a:avLst/>
                    </a:prstGeom>
                    <a:noFill/>
                  </pic:spPr>
                </pic:pic>
              </a:graphicData>
            </a:graphic>
            <wp14:sizeRelH relativeFrom="page">
              <wp14:pctWidth>0</wp14:pctWidth>
            </wp14:sizeRelH>
            <wp14:sizeRelV relativeFrom="page">
              <wp14:pctHeight>0</wp14:pctHeight>
            </wp14:sizeRelV>
          </wp:anchor>
        </w:drawing>
      </w:r>
      <w:r w:rsidR="000406AD">
        <w:t>or score guideline</w:t>
      </w:r>
    </w:p>
    <w:p w:rsidR="000406AD" w:rsidRDefault="000406AD" w:rsidP="000406AD">
      <w:pPr>
        <w:pStyle w:val="Heading1"/>
      </w:pPr>
      <w:r>
        <w:t>A variance indicator score provides early warning of mismatch between capacity and demand</w:t>
      </w:r>
    </w:p>
    <w:p w:rsidR="000406AD" w:rsidRDefault="000406AD" w:rsidP="000406AD">
      <w:r>
        <w:t xml:space="preserve">The variance indicators are a set of criteria that are pointers of mismatch between staff and the care needed by patients. Each criteria is assessed and responded to with a yes or no. A ‘yes’ response results in a weighted score (see Table 1). </w:t>
      </w:r>
    </w:p>
    <w:p w:rsidR="000406AD" w:rsidRDefault="000406AD" w:rsidP="000406AD">
      <w:r>
        <w:t xml:space="preserve">The variance indicator score is calculated by adding together the scores from each of the indicators to get a total. The total score results in a ‘traffic light’ status for the ward/unit which is displayed on the hospitals capacity at a glance screen. </w:t>
      </w:r>
    </w:p>
    <w:p w:rsidR="000406AD" w:rsidRDefault="000406AD" w:rsidP="000406AD">
      <w:pPr>
        <w:pStyle w:val="ItemHeading"/>
      </w:pPr>
      <w:r>
        <w:t xml:space="preserve">Table </w:t>
      </w:r>
      <w:r w:rsidR="009B681E">
        <w:fldChar w:fldCharType="begin"/>
      </w:r>
      <w:r w:rsidR="009B681E">
        <w:instrText xml:space="preserve"> SEQ T</w:instrText>
      </w:r>
      <w:r w:rsidR="009B681E">
        <w:instrText xml:space="preserve">able \* ARABIC </w:instrText>
      </w:r>
      <w:r w:rsidR="009B681E">
        <w:fldChar w:fldCharType="separate"/>
      </w:r>
      <w:r>
        <w:rPr>
          <w:noProof/>
        </w:rPr>
        <w:t>1</w:t>
      </w:r>
      <w:r w:rsidR="009B681E">
        <w:rPr>
          <w:noProof/>
        </w:rPr>
        <w:fldChar w:fldCharType="end"/>
      </w:r>
      <w:r>
        <w:t xml:space="preserve"> - Variance indicators and their scores</w:t>
      </w:r>
    </w:p>
    <w:tbl>
      <w:tblPr>
        <w:tblStyle w:val="LightList-Accent6"/>
        <w:tblW w:w="0" w:type="auto"/>
        <w:tblBorders>
          <w:top w:val="single" w:sz="8" w:space="0" w:color="9B0000"/>
          <w:left w:val="single" w:sz="8" w:space="0" w:color="9B0000"/>
          <w:bottom w:val="single" w:sz="8" w:space="0" w:color="9B0000"/>
          <w:right w:val="single" w:sz="8" w:space="0" w:color="9B0000"/>
          <w:insideH w:val="single" w:sz="8" w:space="0" w:color="9B0000"/>
          <w:insideV w:val="single" w:sz="8" w:space="0" w:color="9B0000"/>
        </w:tblBorders>
        <w:tblLook w:val="04A0" w:firstRow="1" w:lastRow="0" w:firstColumn="1" w:lastColumn="0" w:noHBand="0" w:noVBand="1"/>
      </w:tblPr>
      <w:tblGrid>
        <w:gridCol w:w="2542"/>
        <w:gridCol w:w="4678"/>
        <w:gridCol w:w="890"/>
        <w:gridCol w:w="890"/>
      </w:tblGrid>
      <w:tr w:rsidR="000406AD" w:rsidTr="00325C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shd w:val="clear" w:color="auto" w:fill="9B0000"/>
          </w:tcPr>
          <w:p w:rsidR="000406AD" w:rsidRDefault="000406AD" w:rsidP="00325C04">
            <w:pPr>
              <w:tabs>
                <w:tab w:val="left" w:pos="3706"/>
              </w:tabs>
            </w:pPr>
            <w:r>
              <w:rPr>
                <w:lang w:val="en-AU"/>
              </w:rPr>
              <w:t>Variance indicator</w:t>
            </w:r>
          </w:p>
        </w:tc>
        <w:tc>
          <w:tcPr>
            <w:tcW w:w="4678" w:type="dxa"/>
            <w:shd w:val="clear" w:color="auto" w:fill="9B0000"/>
          </w:tcPr>
          <w:p w:rsidR="000406AD" w:rsidRDefault="000406AD" w:rsidP="00325C04">
            <w:pPr>
              <w:cnfStyle w:val="100000000000" w:firstRow="1" w:lastRow="0" w:firstColumn="0" w:lastColumn="0" w:oddVBand="0" w:evenVBand="0" w:oddHBand="0" w:evenHBand="0" w:firstRowFirstColumn="0" w:firstRowLastColumn="0" w:lastRowFirstColumn="0" w:lastRowLastColumn="0"/>
            </w:pPr>
            <w:r>
              <w:t>Definition</w:t>
            </w:r>
          </w:p>
        </w:tc>
        <w:tc>
          <w:tcPr>
            <w:tcW w:w="890" w:type="dxa"/>
            <w:shd w:val="clear" w:color="auto" w:fill="9B0000"/>
          </w:tcPr>
          <w:p w:rsidR="000406AD" w:rsidRDefault="000406AD" w:rsidP="00325C04">
            <w:pPr>
              <w:cnfStyle w:val="100000000000" w:firstRow="1" w:lastRow="0" w:firstColumn="0" w:lastColumn="0" w:oddVBand="0" w:evenVBand="0" w:oddHBand="0" w:evenHBand="0" w:firstRowFirstColumn="0" w:firstRowLastColumn="0" w:lastRowFirstColumn="0" w:lastRowLastColumn="0"/>
            </w:pPr>
            <w:r>
              <w:t>Score for Yes</w:t>
            </w:r>
          </w:p>
        </w:tc>
        <w:tc>
          <w:tcPr>
            <w:tcW w:w="890" w:type="dxa"/>
            <w:shd w:val="clear" w:color="auto" w:fill="9B0000"/>
          </w:tcPr>
          <w:p w:rsidR="000406AD" w:rsidRDefault="000406AD" w:rsidP="00325C04">
            <w:pPr>
              <w:cnfStyle w:val="100000000000" w:firstRow="1" w:lastRow="0" w:firstColumn="0" w:lastColumn="0" w:oddVBand="0" w:evenVBand="0" w:oddHBand="0" w:evenHBand="0" w:firstRowFirstColumn="0" w:firstRowLastColumn="0" w:lastRowFirstColumn="0" w:lastRowLastColumn="0"/>
            </w:pPr>
            <w:r>
              <w:t>Score for No</w:t>
            </w:r>
          </w:p>
        </w:tc>
      </w:tr>
      <w:tr w:rsidR="000406AD" w:rsidTr="00325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Borders>
              <w:top w:val="none" w:sz="0" w:space="0" w:color="auto"/>
              <w:left w:val="none" w:sz="0" w:space="0" w:color="auto"/>
              <w:bottom w:val="none" w:sz="0" w:space="0" w:color="auto"/>
            </w:tcBorders>
          </w:tcPr>
          <w:p w:rsidR="000406AD" w:rsidRPr="00AB5FC6" w:rsidRDefault="000406AD" w:rsidP="000406AD">
            <w:pPr>
              <w:pStyle w:val="ListParagraph"/>
              <w:numPr>
                <w:ilvl w:val="0"/>
                <w:numId w:val="7"/>
              </w:numPr>
              <w:spacing w:before="60"/>
              <w:jc w:val="left"/>
            </w:pPr>
            <w:r w:rsidRPr="00AB5FC6">
              <w:t xml:space="preserve">Missed </w:t>
            </w:r>
            <w:r>
              <w:t>b</w:t>
            </w:r>
            <w:r w:rsidRPr="00AB5FC6">
              <w:t>reaks</w:t>
            </w:r>
          </w:p>
        </w:tc>
        <w:tc>
          <w:tcPr>
            <w:tcW w:w="4678" w:type="dxa"/>
            <w:tcBorders>
              <w:top w:val="none" w:sz="0" w:space="0" w:color="auto"/>
              <w:bottom w:val="none" w:sz="0" w:space="0" w:color="auto"/>
            </w:tcBorders>
            <w:shd w:val="clear" w:color="auto" w:fill="auto"/>
          </w:tcPr>
          <w:p w:rsidR="000406AD" w:rsidRPr="00513610" w:rsidRDefault="000406AD" w:rsidP="00B31053">
            <w:pPr>
              <w:jc w:val="left"/>
              <w:cnfStyle w:val="000000100000" w:firstRow="0" w:lastRow="0" w:firstColumn="0" w:lastColumn="0" w:oddVBand="0" w:evenVBand="0" w:oddHBand="1" w:evenHBand="0" w:firstRowFirstColumn="0" w:firstRowLastColumn="0" w:lastRowFirstColumn="0" w:lastRowLastColumn="0"/>
              <w:rPr>
                <w:rFonts w:ascii="Segoe UI" w:hAnsi="Segoe UI"/>
                <w:sz w:val="18"/>
                <w:szCs w:val="18"/>
              </w:rPr>
            </w:pPr>
            <w:r w:rsidRPr="00513610">
              <w:rPr>
                <w:rFonts w:ascii="Segoe UI" w:hAnsi="Segoe UI"/>
                <w:sz w:val="18"/>
                <w:szCs w:val="18"/>
              </w:rPr>
              <w:t xml:space="preserve">Staff unable to take meal breaks </w:t>
            </w:r>
            <w:r>
              <w:rPr>
                <w:rFonts w:ascii="Segoe UI" w:hAnsi="Segoe UI"/>
                <w:sz w:val="18"/>
                <w:szCs w:val="18"/>
              </w:rPr>
              <w:t>and/or afternoon or morning tea.</w:t>
            </w:r>
          </w:p>
        </w:tc>
        <w:tc>
          <w:tcPr>
            <w:tcW w:w="890" w:type="dxa"/>
            <w:tcBorders>
              <w:top w:val="none" w:sz="0" w:space="0" w:color="auto"/>
              <w:bottom w:val="none" w:sz="0" w:space="0" w:color="auto"/>
            </w:tcBorders>
          </w:tcPr>
          <w:p w:rsidR="000406AD" w:rsidRPr="00513610" w:rsidRDefault="000406AD" w:rsidP="00325C04">
            <w:pPr>
              <w:jc w:val="center"/>
              <w:cnfStyle w:val="000000100000" w:firstRow="0" w:lastRow="0" w:firstColumn="0" w:lastColumn="0" w:oddVBand="0" w:evenVBand="0" w:oddHBand="1" w:evenHBand="0" w:firstRowFirstColumn="0" w:firstRowLastColumn="0" w:lastRowFirstColumn="0" w:lastRowLastColumn="0"/>
              <w:rPr>
                <w:rFonts w:ascii="Segoe UI" w:hAnsi="Segoe UI"/>
                <w:sz w:val="18"/>
                <w:szCs w:val="18"/>
              </w:rPr>
            </w:pPr>
            <w:r>
              <w:rPr>
                <w:rFonts w:ascii="Segoe UI" w:hAnsi="Segoe UI"/>
                <w:sz w:val="18"/>
                <w:szCs w:val="18"/>
              </w:rPr>
              <w:t>1</w:t>
            </w:r>
          </w:p>
        </w:tc>
        <w:tc>
          <w:tcPr>
            <w:tcW w:w="890" w:type="dxa"/>
            <w:tcBorders>
              <w:top w:val="none" w:sz="0" w:space="0" w:color="auto"/>
              <w:bottom w:val="none" w:sz="0" w:space="0" w:color="auto"/>
              <w:right w:val="none" w:sz="0" w:space="0" w:color="auto"/>
            </w:tcBorders>
          </w:tcPr>
          <w:p w:rsidR="000406AD" w:rsidRDefault="000406AD" w:rsidP="00325C04">
            <w:pPr>
              <w:jc w:val="center"/>
              <w:cnfStyle w:val="000000100000" w:firstRow="0" w:lastRow="0" w:firstColumn="0" w:lastColumn="0" w:oddVBand="0" w:evenVBand="0" w:oddHBand="1" w:evenHBand="0" w:firstRowFirstColumn="0" w:firstRowLastColumn="0" w:lastRowFirstColumn="0" w:lastRowLastColumn="0"/>
              <w:rPr>
                <w:rFonts w:ascii="Segoe UI" w:hAnsi="Segoe UI"/>
                <w:sz w:val="18"/>
                <w:szCs w:val="18"/>
              </w:rPr>
            </w:pPr>
            <w:r>
              <w:rPr>
                <w:rFonts w:ascii="Segoe UI" w:hAnsi="Segoe UI"/>
                <w:sz w:val="18"/>
                <w:szCs w:val="18"/>
              </w:rPr>
              <w:t>0</w:t>
            </w:r>
          </w:p>
        </w:tc>
      </w:tr>
      <w:tr w:rsidR="000406AD" w:rsidTr="00325C04">
        <w:tc>
          <w:tcPr>
            <w:cnfStyle w:val="001000000000" w:firstRow="0" w:lastRow="0" w:firstColumn="1" w:lastColumn="0" w:oddVBand="0" w:evenVBand="0" w:oddHBand="0" w:evenHBand="0" w:firstRowFirstColumn="0" w:firstRowLastColumn="0" w:lastRowFirstColumn="0" w:lastRowLastColumn="0"/>
            <w:tcW w:w="2542" w:type="dxa"/>
          </w:tcPr>
          <w:p w:rsidR="000406AD" w:rsidRPr="00AB5FC6" w:rsidRDefault="000406AD" w:rsidP="000406AD">
            <w:pPr>
              <w:pStyle w:val="ListParagraph"/>
              <w:numPr>
                <w:ilvl w:val="0"/>
                <w:numId w:val="7"/>
              </w:numPr>
              <w:spacing w:before="60"/>
              <w:jc w:val="left"/>
            </w:pPr>
            <w:r>
              <w:t>Poor skill m</w:t>
            </w:r>
            <w:r w:rsidRPr="00AB5FC6">
              <w:t>ix</w:t>
            </w:r>
          </w:p>
        </w:tc>
        <w:tc>
          <w:tcPr>
            <w:tcW w:w="4678" w:type="dxa"/>
          </w:tcPr>
          <w:p w:rsidR="000406AD" w:rsidRPr="00221363" w:rsidRDefault="000406AD" w:rsidP="00B31053">
            <w:pPr>
              <w:jc w:val="left"/>
              <w:cnfStyle w:val="000000000000" w:firstRow="0" w:lastRow="0" w:firstColumn="0" w:lastColumn="0" w:oddVBand="0" w:evenVBand="0" w:oddHBand="0" w:evenHBand="0" w:firstRowFirstColumn="0" w:firstRowLastColumn="0" w:lastRowFirstColumn="0" w:lastRowLastColumn="0"/>
              <w:rPr>
                <w:rFonts w:ascii="Segoe UI" w:hAnsi="Segoe UI"/>
                <w:sz w:val="18"/>
                <w:szCs w:val="18"/>
              </w:rPr>
            </w:pPr>
            <w:r w:rsidRPr="00F750D3">
              <w:rPr>
                <w:rFonts w:ascii="Segoe UI" w:hAnsi="Segoe UI"/>
                <w:sz w:val="18"/>
                <w:szCs w:val="18"/>
              </w:rPr>
              <w:t xml:space="preserve">Staff on duty do not have the required skill set e.g. </w:t>
            </w:r>
            <w:r>
              <w:rPr>
                <w:rFonts w:ascii="Segoe UI" w:hAnsi="Segoe UI"/>
                <w:sz w:val="18"/>
                <w:szCs w:val="18"/>
              </w:rPr>
              <w:t>p</w:t>
            </w:r>
            <w:r w:rsidRPr="00F750D3">
              <w:rPr>
                <w:rFonts w:ascii="Segoe UI" w:hAnsi="Segoe UI"/>
                <w:sz w:val="18"/>
                <w:szCs w:val="18"/>
              </w:rPr>
              <w:t>ain management (</w:t>
            </w:r>
            <w:r>
              <w:rPr>
                <w:rFonts w:ascii="Segoe UI" w:hAnsi="Segoe UI"/>
                <w:sz w:val="18"/>
                <w:szCs w:val="18"/>
              </w:rPr>
              <w:t>e</w:t>
            </w:r>
            <w:r w:rsidRPr="00F750D3">
              <w:rPr>
                <w:rFonts w:ascii="Segoe UI" w:hAnsi="Segoe UI"/>
                <w:sz w:val="18"/>
                <w:szCs w:val="18"/>
              </w:rPr>
              <w:t xml:space="preserve">pidural or </w:t>
            </w:r>
            <w:proofErr w:type="spellStart"/>
            <w:r w:rsidRPr="00F750D3">
              <w:rPr>
                <w:rFonts w:ascii="Segoe UI" w:hAnsi="Segoe UI"/>
                <w:sz w:val="18"/>
                <w:szCs w:val="18"/>
              </w:rPr>
              <w:t>PCA</w:t>
            </w:r>
            <w:proofErr w:type="spellEnd"/>
            <w:r w:rsidRPr="00F750D3">
              <w:rPr>
                <w:rFonts w:ascii="Segoe UI" w:hAnsi="Segoe UI"/>
                <w:sz w:val="18"/>
                <w:szCs w:val="18"/>
              </w:rPr>
              <w:t>), CPAP, chest drain, advanced resuscitation</w:t>
            </w:r>
            <w:r>
              <w:rPr>
                <w:rFonts w:ascii="Segoe UI" w:hAnsi="Segoe UI"/>
                <w:sz w:val="18"/>
                <w:szCs w:val="18"/>
              </w:rPr>
              <w:t>.</w:t>
            </w:r>
          </w:p>
        </w:tc>
        <w:tc>
          <w:tcPr>
            <w:tcW w:w="890" w:type="dxa"/>
          </w:tcPr>
          <w:p w:rsidR="000406AD" w:rsidRPr="00F750D3" w:rsidRDefault="000406AD" w:rsidP="00325C04">
            <w:pPr>
              <w:jc w:val="center"/>
              <w:cnfStyle w:val="000000000000" w:firstRow="0" w:lastRow="0" w:firstColumn="0" w:lastColumn="0" w:oddVBand="0" w:evenVBand="0" w:oddHBand="0" w:evenHBand="0" w:firstRowFirstColumn="0" w:firstRowLastColumn="0" w:lastRowFirstColumn="0" w:lastRowLastColumn="0"/>
              <w:rPr>
                <w:rFonts w:ascii="Segoe UI" w:hAnsi="Segoe UI"/>
                <w:sz w:val="18"/>
                <w:szCs w:val="18"/>
              </w:rPr>
            </w:pPr>
            <w:r>
              <w:rPr>
                <w:rFonts w:ascii="Segoe UI" w:hAnsi="Segoe UI"/>
                <w:sz w:val="18"/>
                <w:szCs w:val="18"/>
              </w:rPr>
              <w:t>2</w:t>
            </w:r>
          </w:p>
        </w:tc>
        <w:tc>
          <w:tcPr>
            <w:tcW w:w="890" w:type="dxa"/>
          </w:tcPr>
          <w:p w:rsidR="000406AD" w:rsidRPr="00F750D3" w:rsidRDefault="000406AD" w:rsidP="00325C04">
            <w:pPr>
              <w:jc w:val="center"/>
              <w:cnfStyle w:val="000000000000" w:firstRow="0" w:lastRow="0" w:firstColumn="0" w:lastColumn="0" w:oddVBand="0" w:evenVBand="0" w:oddHBand="0" w:evenHBand="0" w:firstRowFirstColumn="0" w:firstRowLastColumn="0" w:lastRowFirstColumn="0" w:lastRowLastColumn="0"/>
              <w:rPr>
                <w:rFonts w:ascii="Segoe UI" w:hAnsi="Segoe UI"/>
                <w:sz w:val="18"/>
                <w:szCs w:val="18"/>
              </w:rPr>
            </w:pPr>
            <w:r>
              <w:rPr>
                <w:rFonts w:ascii="Segoe UI" w:hAnsi="Segoe UI"/>
                <w:sz w:val="18"/>
                <w:szCs w:val="18"/>
              </w:rPr>
              <w:t>0</w:t>
            </w:r>
          </w:p>
        </w:tc>
      </w:tr>
      <w:tr w:rsidR="000406AD" w:rsidTr="00325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Borders>
              <w:top w:val="none" w:sz="0" w:space="0" w:color="auto"/>
              <w:left w:val="none" w:sz="0" w:space="0" w:color="auto"/>
              <w:bottom w:val="none" w:sz="0" w:space="0" w:color="auto"/>
            </w:tcBorders>
          </w:tcPr>
          <w:p w:rsidR="000406AD" w:rsidRPr="002C6D22" w:rsidRDefault="000406AD" w:rsidP="000406AD">
            <w:pPr>
              <w:pStyle w:val="ListParagraph"/>
              <w:numPr>
                <w:ilvl w:val="0"/>
                <w:numId w:val="7"/>
              </w:numPr>
              <w:spacing w:before="60"/>
              <w:jc w:val="left"/>
            </w:pPr>
            <w:r>
              <w:t>Poor staff m</w:t>
            </w:r>
            <w:r w:rsidRPr="00AB5FC6">
              <w:t>ix</w:t>
            </w:r>
            <w:r>
              <w:t xml:space="preserve"> </w:t>
            </w:r>
            <w:r w:rsidRPr="002C6D22">
              <w:t xml:space="preserve">(RN, </w:t>
            </w:r>
            <w:r>
              <w:t xml:space="preserve">RM, </w:t>
            </w:r>
            <w:r w:rsidRPr="002C6D22">
              <w:t>EN, HCA)</w:t>
            </w:r>
          </w:p>
        </w:tc>
        <w:tc>
          <w:tcPr>
            <w:tcW w:w="4678" w:type="dxa"/>
            <w:tcBorders>
              <w:top w:val="none" w:sz="0" w:space="0" w:color="auto"/>
              <w:bottom w:val="none" w:sz="0" w:space="0" w:color="auto"/>
            </w:tcBorders>
          </w:tcPr>
          <w:p w:rsidR="000406AD" w:rsidRDefault="000406AD" w:rsidP="00B31053">
            <w:pPr>
              <w:jc w:val="left"/>
              <w:cnfStyle w:val="000000100000" w:firstRow="0" w:lastRow="0" w:firstColumn="0" w:lastColumn="0" w:oddVBand="0" w:evenVBand="0" w:oddHBand="1" w:evenHBand="0" w:firstRowFirstColumn="0" w:firstRowLastColumn="0" w:lastRowFirstColumn="0" w:lastRowLastColumn="0"/>
              <w:rPr>
                <w:rFonts w:ascii="Segoe UI" w:hAnsi="Segoe UI"/>
                <w:sz w:val="18"/>
                <w:szCs w:val="18"/>
              </w:rPr>
            </w:pPr>
            <w:r w:rsidRPr="00513610">
              <w:rPr>
                <w:rFonts w:ascii="Segoe UI" w:hAnsi="Segoe UI"/>
                <w:sz w:val="18"/>
                <w:szCs w:val="18"/>
              </w:rPr>
              <w:t>RN/</w:t>
            </w:r>
            <w:r>
              <w:rPr>
                <w:rFonts w:ascii="Segoe UI" w:hAnsi="Segoe UI"/>
                <w:sz w:val="18"/>
                <w:szCs w:val="18"/>
              </w:rPr>
              <w:t>RM/</w:t>
            </w:r>
            <w:r w:rsidRPr="00513610">
              <w:rPr>
                <w:rFonts w:ascii="Segoe UI" w:hAnsi="Segoe UI"/>
                <w:sz w:val="18"/>
                <w:szCs w:val="18"/>
              </w:rPr>
              <w:t xml:space="preserve">EN/HCA mix </w:t>
            </w:r>
            <w:r>
              <w:rPr>
                <w:rFonts w:ascii="Segoe UI" w:hAnsi="Segoe UI"/>
                <w:sz w:val="18"/>
                <w:szCs w:val="18"/>
              </w:rPr>
              <w:t xml:space="preserve">is </w:t>
            </w:r>
            <w:r w:rsidRPr="00513610">
              <w:rPr>
                <w:rFonts w:ascii="Segoe UI" w:hAnsi="Segoe UI"/>
                <w:sz w:val="18"/>
                <w:szCs w:val="18"/>
              </w:rPr>
              <w:t xml:space="preserve">not supporting </w:t>
            </w:r>
            <w:r>
              <w:rPr>
                <w:rFonts w:ascii="Segoe UI" w:hAnsi="Segoe UI"/>
                <w:sz w:val="18"/>
                <w:szCs w:val="18"/>
              </w:rPr>
              <w:t xml:space="preserve">the </w:t>
            </w:r>
            <w:r w:rsidRPr="00513610">
              <w:rPr>
                <w:rFonts w:ascii="Segoe UI" w:hAnsi="Segoe UI"/>
                <w:sz w:val="18"/>
                <w:szCs w:val="18"/>
              </w:rPr>
              <w:t>team to provide consistent high quality care</w:t>
            </w:r>
            <w:r>
              <w:rPr>
                <w:rFonts w:ascii="Segoe UI" w:hAnsi="Segoe UI"/>
                <w:sz w:val="18"/>
                <w:szCs w:val="18"/>
              </w:rPr>
              <w:t>.</w:t>
            </w:r>
          </w:p>
          <w:p w:rsidR="000406AD" w:rsidRDefault="000406AD" w:rsidP="00B31053">
            <w:pPr>
              <w:jc w:val="left"/>
              <w:cnfStyle w:val="000000100000" w:firstRow="0" w:lastRow="0" w:firstColumn="0" w:lastColumn="0" w:oddVBand="0" w:evenVBand="0" w:oddHBand="1" w:evenHBand="0" w:firstRowFirstColumn="0" w:firstRowLastColumn="0" w:lastRowFirstColumn="0" w:lastRowLastColumn="0"/>
              <w:rPr>
                <w:rFonts w:ascii="Segoe UI" w:hAnsi="Segoe UI"/>
                <w:sz w:val="18"/>
                <w:szCs w:val="18"/>
              </w:rPr>
            </w:pPr>
            <w:r>
              <w:rPr>
                <w:rFonts w:ascii="Segoe UI" w:hAnsi="Segoe UI"/>
                <w:sz w:val="18"/>
                <w:szCs w:val="18"/>
              </w:rPr>
              <w:t>The ratio of home ward staff to casual staff is compromising the quality of care.</w:t>
            </w:r>
          </w:p>
          <w:p w:rsidR="000406AD" w:rsidRPr="00513610" w:rsidRDefault="000406AD" w:rsidP="00B31053">
            <w:pPr>
              <w:jc w:val="left"/>
              <w:cnfStyle w:val="000000100000" w:firstRow="0" w:lastRow="0" w:firstColumn="0" w:lastColumn="0" w:oddVBand="0" w:evenVBand="0" w:oddHBand="1" w:evenHBand="0" w:firstRowFirstColumn="0" w:firstRowLastColumn="0" w:lastRowFirstColumn="0" w:lastRowLastColumn="0"/>
              <w:rPr>
                <w:rFonts w:ascii="Segoe UI" w:hAnsi="Segoe UI"/>
                <w:sz w:val="18"/>
                <w:szCs w:val="18"/>
              </w:rPr>
            </w:pPr>
            <w:r>
              <w:rPr>
                <w:rFonts w:ascii="Segoe UI" w:hAnsi="Segoe UI"/>
                <w:sz w:val="18"/>
                <w:szCs w:val="18"/>
              </w:rPr>
              <w:t>An administrator is usually present but is absent and not replaced.</w:t>
            </w:r>
          </w:p>
        </w:tc>
        <w:tc>
          <w:tcPr>
            <w:tcW w:w="890" w:type="dxa"/>
            <w:tcBorders>
              <w:top w:val="none" w:sz="0" w:space="0" w:color="auto"/>
              <w:bottom w:val="none" w:sz="0" w:space="0" w:color="auto"/>
            </w:tcBorders>
          </w:tcPr>
          <w:p w:rsidR="000406AD" w:rsidRPr="00513610" w:rsidRDefault="000406AD" w:rsidP="00325C04">
            <w:pPr>
              <w:jc w:val="center"/>
              <w:cnfStyle w:val="000000100000" w:firstRow="0" w:lastRow="0" w:firstColumn="0" w:lastColumn="0" w:oddVBand="0" w:evenVBand="0" w:oddHBand="1" w:evenHBand="0" w:firstRowFirstColumn="0" w:firstRowLastColumn="0" w:lastRowFirstColumn="0" w:lastRowLastColumn="0"/>
              <w:rPr>
                <w:rFonts w:ascii="Segoe UI" w:hAnsi="Segoe UI"/>
                <w:sz w:val="18"/>
                <w:szCs w:val="18"/>
              </w:rPr>
            </w:pPr>
            <w:r>
              <w:rPr>
                <w:rFonts w:ascii="Segoe UI" w:hAnsi="Segoe UI"/>
                <w:sz w:val="18"/>
                <w:szCs w:val="18"/>
              </w:rPr>
              <w:t>3</w:t>
            </w:r>
          </w:p>
        </w:tc>
        <w:tc>
          <w:tcPr>
            <w:tcW w:w="890" w:type="dxa"/>
            <w:tcBorders>
              <w:top w:val="none" w:sz="0" w:space="0" w:color="auto"/>
              <w:bottom w:val="none" w:sz="0" w:space="0" w:color="auto"/>
              <w:right w:val="none" w:sz="0" w:space="0" w:color="auto"/>
            </w:tcBorders>
          </w:tcPr>
          <w:p w:rsidR="000406AD" w:rsidRDefault="000406AD" w:rsidP="00325C04">
            <w:pPr>
              <w:jc w:val="center"/>
              <w:cnfStyle w:val="000000100000" w:firstRow="0" w:lastRow="0" w:firstColumn="0" w:lastColumn="0" w:oddVBand="0" w:evenVBand="0" w:oddHBand="1" w:evenHBand="0" w:firstRowFirstColumn="0" w:firstRowLastColumn="0" w:lastRowFirstColumn="0" w:lastRowLastColumn="0"/>
              <w:rPr>
                <w:rFonts w:ascii="Segoe UI" w:hAnsi="Segoe UI"/>
                <w:sz w:val="18"/>
                <w:szCs w:val="18"/>
              </w:rPr>
            </w:pPr>
            <w:r>
              <w:rPr>
                <w:rFonts w:ascii="Segoe UI" w:hAnsi="Segoe UI"/>
                <w:sz w:val="18"/>
                <w:szCs w:val="18"/>
              </w:rPr>
              <w:t>0</w:t>
            </w:r>
          </w:p>
        </w:tc>
      </w:tr>
      <w:tr w:rsidR="000406AD" w:rsidTr="00325C04">
        <w:tc>
          <w:tcPr>
            <w:cnfStyle w:val="001000000000" w:firstRow="0" w:lastRow="0" w:firstColumn="1" w:lastColumn="0" w:oddVBand="0" w:evenVBand="0" w:oddHBand="0" w:evenHBand="0" w:firstRowFirstColumn="0" w:firstRowLastColumn="0" w:lastRowFirstColumn="0" w:lastRowLastColumn="0"/>
            <w:tcW w:w="2542" w:type="dxa"/>
          </w:tcPr>
          <w:p w:rsidR="000406AD" w:rsidRPr="00AB5FC6" w:rsidRDefault="000406AD" w:rsidP="000406AD">
            <w:pPr>
              <w:pStyle w:val="ListParagraph"/>
              <w:numPr>
                <w:ilvl w:val="0"/>
                <w:numId w:val="7"/>
              </w:numPr>
              <w:spacing w:before="60"/>
              <w:jc w:val="left"/>
            </w:pPr>
            <w:r>
              <w:t>Negative care h</w:t>
            </w:r>
            <w:r w:rsidRPr="00AB5FC6">
              <w:t xml:space="preserve">ours </w:t>
            </w:r>
            <w:r>
              <w:t>variance</w:t>
            </w:r>
          </w:p>
        </w:tc>
        <w:tc>
          <w:tcPr>
            <w:tcW w:w="4678" w:type="dxa"/>
          </w:tcPr>
          <w:p w:rsidR="000406AD" w:rsidRDefault="000406AD" w:rsidP="00B31053">
            <w:pPr>
              <w:jc w:val="left"/>
              <w:cnfStyle w:val="000000000000" w:firstRow="0" w:lastRow="0" w:firstColumn="0" w:lastColumn="0" w:oddVBand="0" w:evenVBand="0" w:oddHBand="0" w:evenHBand="0" w:firstRowFirstColumn="0" w:firstRowLastColumn="0" w:lastRowFirstColumn="0" w:lastRowLastColumn="0"/>
              <w:rPr>
                <w:rFonts w:ascii="Segoe UI" w:hAnsi="Segoe UI"/>
                <w:sz w:val="18"/>
                <w:szCs w:val="18"/>
              </w:rPr>
            </w:pPr>
            <w:r>
              <w:rPr>
                <w:rFonts w:ascii="Segoe UI" w:hAnsi="Segoe UI"/>
                <w:sz w:val="18"/>
                <w:szCs w:val="18"/>
              </w:rPr>
              <w:t>A</w:t>
            </w:r>
            <w:r w:rsidRPr="00F750D3">
              <w:rPr>
                <w:rFonts w:ascii="Segoe UI" w:hAnsi="Segoe UI"/>
                <w:sz w:val="18"/>
                <w:szCs w:val="18"/>
              </w:rPr>
              <w:t xml:space="preserve">cuity predicted for patients is beyond the capacity threshold </w:t>
            </w:r>
            <w:r>
              <w:rPr>
                <w:rFonts w:ascii="Segoe UI" w:hAnsi="Segoe UI"/>
                <w:sz w:val="18"/>
                <w:szCs w:val="18"/>
              </w:rPr>
              <w:t>i.e.</w:t>
            </w:r>
            <w:r w:rsidRPr="00F750D3">
              <w:rPr>
                <w:rFonts w:ascii="Segoe UI" w:hAnsi="Segoe UI"/>
                <w:sz w:val="18"/>
                <w:szCs w:val="18"/>
              </w:rPr>
              <w:t xml:space="preserve"> will exceed </w:t>
            </w:r>
            <w:r>
              <w:rPr>
                <w:rFonts w:ascii="Segoe UI" w:hAnsi="Segoe UI"/>
                <w:sz w:val="18"/>
                <w:szCs w:val="18"/>
              </w:rPr>
              <w:t>40 mins for each staff member</w:t>
            </w:r>
            <w:r w:rsidRPr="00F750D3">
              <w:rPr>
                <w:rFonts w:ascii="Segoe UI" w:hAnsi="Segoe UI"/>
                <w:sz w:val="18"/>
                <w:szCs w:val="18"/>
              </w:rPr>
              <w:t xml:space="preserve"> with a full 8 hours</w:t>
            </w:r>
            <w:r>
              <w:rPr>
                <w:rFonts w:ascii="Segoe UI" w:hAnsi="Segoe UI"/>
                <w:sz w:val="18"/>
                <w:szCs w:val="18"/>
              </w:rPr>
              <w:t xml:space="preserve"> in clinical in department.</w:t>
            </w:r>
          </w:p>
          <w:p w:rsidR="000406AD" w:rsidRPr="00513610" w:rsidRDefault="000406AD" w:rsidP="00B31053">
            <w:pPr>
              <w:jc w:val="left"/>
              <w:cnfStyle w:val="000000000000" w:firstRow="0" w:lastRow="0" w:firstColumn="0" w:lastColumn="0" w:oddVBand="0" w:evenVBand="0" w:oddHBand="0" w:evenHBand="0" w:firstRowFirstColumn="0" w:firstRowLastColumn="0" w:lastRowFirstColumn="0" w:lastRowLastColumn="0"/>
              <w:rPr>
                <w:rFonts w:ascii="Segoe UI" w:hAnsi="Segoe UI"/>
                <w:sz w:val="18"/>
                <w:szCs w:val="18"/>
              </w:rPr>
            </w:pPr>
            <w:r w:rsidRPr="00B31053">
              <w:rPr>
                <w:rFonts w:ascii="Segoe UI" w:hAnsi="Segoe UI"/>
                <w:b/>
                <w:sz w:val="18"/>
                <w:szCs w:val="18"/>
              </w:rPr>
              <w:t>OR</w:t>
            </w:r>
            <w:r w:rsidRPr="00B31053">
              <w:rPr>
                <w:rFonts w:ascii="Segoe UI" w:hAnsi="Segoe UI"/>
                <w:sz w:val="18"/>
                <w:szCs w:val="18"/>
              </w:rPr>
              <w:t xml:space="preserve"> there is 8 hours variance or more to the planned roster</w:t>
            </w:r>
            <w:r w:rsidR="00B31053">
              <w:rPr>
                <w:rFonts w:ascii="Segoe UI" w:hAnsi="Segoe UI"/>
                <w:sz w:val="18"/>
                <w:szCs w:val="18"/>
              </w:rPr>
              <w:t xml:space="preserve"> i.e. allied health, emergency and perioperative departments</w:t>
            </w:r>
            <w:r w:rsidRPr="00B31053">
              <w:rPr>
                <w:rFonts w:ascii="Segoe UI" w:hAnsi="Segoe UI"/>
                <w:sz w:val="18"/>
                <w:szCs w:val="18"/>
              </w:rPr>
              <w:t>.</w:t>
            </w:r>
          </w:p>
        </w:tc>
        <w:tc>
          <w:tcPr>
            <w:tcW w:w="890" w:type="dxa"/>
          </w:tcPr>
          <w:p w:rsidR="000406AD" w:rsidRDefault="000406AD" w:rsidP="00325C04">
            <w:pPr>
              <w:jc w:val="center"/>
              <w:cnfStyle w:val="000000000000" w:firstRow="0" w:lastRow="0" w:firstColumn="0" w:lastColumn="0" w:oddVBand="0" w:evenVBand="0" w:oddHBand="0" w:evenHBand="0" w:firstRowFirstColumn="0" w:firstRowLastColumn="0" w:lastRowFirstColumn="0" w:lastRowLastColumn="0"/>
              <w:rPr>
                <w:rFonts w:ascii="Segoe UI" w:hAnsi="Segoe UI"/>
                <w:sz w:val="18"/>
                <w:szCs w:val="18"/>
              </w:rPr>
            </w:pPr>
            <w:r>
              <w:rPr>
                <w:rFonts w:ascii="Segoe UI" w:hAnsi="Segoe UI"/>
                <w:sz w:val="18"/>
                <w:szCs w:val="18"/>
              </w:rPr>
              <w:t>4</w:t>
            </w:r>
          </w:p>
          <w:p w:rsidR="000406AD" w:rsidRPr="00F750D3" w:rsidRDefault="000406AD" w:rsidP="00325C04">
            <w:pPr>
              <w:cnfStyle w:val="000000000000" w:firstRow="0" w:lastRow="0" w:firstColumn="0" w:lastColumn="0" w:oddVBand="0" w:evenVBand="0" w:oddHBand="0" w:evenHBand="0" w:firstRowFirstColumn="0" w:firstRowLastColumn="0" w:lastRowFirstColumn="0" w:lastRowLastColumn="0"/>
              <w:rPr>
                <w:rFonts w:ascii="Segoe UI" w:hAnsi="Segoe UI"/>
                <w:sz w:val="18"/>
                <w:szCs w:val="18"/>
              </w:rPr>
            </w:pPr>
          </w:p>
        </w:tc>
        <w:tc>
          <w:tcPr>
            <w:tcW w:w="890" w:type="dxa"/>
          </w:tcPr>
          <w:p w:rsidR="000406AD" w:rsidRDefault="000406AD" w:rsidP="00325C04">
            <w:pPr>
              <w:jc w:val="center"/>
              <w:cnfStyle w:val="000000000000" w:firstRow="0" w:lastRow="0" w:firstColumn="0" w:lastColumn="0" w:oddVBand="0" w:evenVBand="0" w:oddHBand="0" w:evenHBand="0" w:firstRowFirstColumn="0" w:firstRowLastColumn="0" w:lastRowFirstColumn="0" w:lastRowLastColumn="0"/>
              <w:rPr>
                <w:rFonts w:ascii="Segoe UI" w:hAnsi="Segoe UI"/>
                <w:sz w:val="18"/>
                <w:szCs w:val="18"/>
              </w:rPr>
            </w:pPr>
            <w:r>
              <w:rPr>
                <w:rFonts w:ascii="Segoe UI" w:hAnsi="Segoe UI"/>
                <w:sz w:val="18"/>
                <w:szCs w:val="18"/>
              </w:rPr>
              <w:t>0</w:t>
            </w:r>
          </w:p>
          <w:p w:rsidR="000406AD" w:rsidRPr="00F750D3" w:rsidRDefault="000406AD" w:rsidP="00325C04">
            <w:pPr>
              <w:cnfStyle w:val="000000000000" w:firstRow="0" w:lastRow="0" w:firstColumn="0" w:lastColumn="0" w:oddVBand="0" w:evenVBand="0" w:oddHBand="0" w:evenHBand="0" w:firstRowFirstColumn="0" w:firstRowLastColumn="0" w:lastRowFirstColumn="0" w:lastRowLastColumn="0"/>
              <w:rPr>
                <w:rFonts w:ascii="Segoe UI" w:hAnsi="Segoe UI"/>
                <w:sz w:val="18"/>
                <w:szCs w:val="18"/>
              </w:rPr>
            </w:pPr>
          </w:p>
        </w:tc>
      </w:tr>
      <w:tr w:rsidR="000406AD" w:rsidTr="009B6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Borders>
              <w:top w:val="none" w:sz="0" w:space="0" w:color="auto"/>
              <w:left w:val="none" w:sz="0" w:space="0" w:color="auto"/>
              <w:bottom w:val="none" w:sz="0" w:space="0" w:color="auto"/>
            </w:tcBorders>
          </w:tcPr>
          <w:p w:rsidR="000406AD" w:rsidRDefault="000406AD" w:rsidP="000406AD">
            <w:pPr>
              <w:pStyle w:val="ListParagraph"/>
              <w:numPr>
                <w:ilvl w:val="0"/>
                <w:numId w:val="7"/>
              </w:numPr>
              <w:spacing w:before="60"/>
              <w:jc w:val="left"/>
            </w:pPr>
            <w:r>
              <w:t>Positive care h</w:t>
            </w:r>
            <w:r w:rsidRPr="00AB5FC6">
              <w:t xml:space="preserve">ours </w:t>
            </w:r>
            <w:r>
              <w:t>variance</w:t>
            </w:r>
          </w:p>
        </w:tc>
        <w:tc>
          <w:tcPr>
            <w:tcW w:w="4678" w:type="dxa"/>
            <w:tcBorders>
              <w:top w:val="none" w:sz="0" w:space="0" w:color="auto"/>
              <w:bottom w:val="none" w:sz="0" w:space="0" w:color="auto"/>
            </w:tcBorders>
          </w:tcPr>
          <w:p w:rsidR="000406AD" w:rsidRDefault="000406AD" w:rsidP="00B31053">
            <w:pPr>
              <w:jc w:val="left"/>
              <w:cnfStyle w:val="000000100000" w:firstRow="0" w:lastRow="0" w:firstColumn="0" w:lastColumn="0" w:oddVBand="0" w:evenVBand="0" w:oddHBand="1" w:evenHBand="0" w:firstRowFirstColumn="0" w:firstRowLastColumn="0" w:lastRowFirstColumn="0" w:lastRowLastColumn="0"/>
              <w:rPr>
                <w:rFonts w:ascii="Segoe UI" w:hAnsi="Segoe UI"/>
                <w:sz w:val="18"/>
                <w:szCs w:val="18"/>
              </w:rPr>
            </w:pPr>
            <w:r>
              <w:rPr>
                <w:rFonts w:ascii="Segoe UI" w:hAnsi="Segoe UI"/>
                <w:sz w:val="18"/>
                <w:szCs w:val="18"/>
              </w:rPr>
              <w:t xml:space="preserve">Recalculated positive care hours of greater than 0. </w:t>
            </w:r>
            <w:r w:rsidRPr="005E162E">
              <w:rPr>
                <w:rFonts w:ascii="Segoe UI" w:hAnsi="Segoe UI"/>
                <w:i/>
                <w:sz w:val="18"/>
                <w:szCs w:val="18"/>
              </w:rPr>
              <w:t>Excludes minimum staffing.</w:t>
            </w:r>
          </w:p>
        </w:tc>
        <w:tc>
          <w:tcPr>
            <w:tcW w:w="890" w:type="dxa"/>
            <w:tcBorders>
              <w:top w:val="none" w:sz="0" w:space="0" w:color="auto"/>
              <w:bottom w:val="none" w:sz="0" w:space="0" w:color="auto"/>
            </w:tcBorders>
          </w:tcPr>
          <w:p w:rsidR="000406AD" w:rsidRDefault="000406AD" w:rsidP="00325C04">
            <w:pPr>
              <w:jc w:val="center"/>
              <w:cnfStyle w:val="000000100000" w:firstRow="0" w:lastRow="0" w:firstColumn="0" w:lastColumn="0" w:oddVBand="0" w:evenVBand="0" w:oddHBand="1" w:evenHBand="0" w:firstRowFirstColumn="0" w:firstRowLastColumn="0" w:lastRowFirstColumn="0" w:lastRowLastColumn="0"/>
              <w:rPr>
                <w:rFonts w:ascii="Segoe UI" w:hAnsi="Segoe UI"/>
                <w:sz w:val="18"/>
                <w:szCs w:val="18"/>
              </w:rPr>
            </w:pPr>
            <w:r>
              <w:rPr>
                <w:rFonts w:ascii="Segoe UI" w:hAnsi="Segoe UI"/>
                <w:sz w:val="18"/>
                <w:szCs w:val="18"/>
              </w:rPr>
              <w:t>- 1</w:t>
            </w:r>
          </w:p>
        </w:tc>
        <w:tc>
          <w:tcPr>
            <w:tcW w:w="890" w:type="dxa"/>
            <w:tcBorders>
              <w:top w:val="none" w:sz="0" w:space="0" w:color="auto"/>
              <w:bottom w:val="none" w:sz="0" w:space="0" w:color="auto"/>
              <w:right w:val="none" w:sz="0" w:space="0" w:color="auto"/>
            </w:tcBorders>
          </w:tcPr>
          <w:p w:rsidR="000406AD" w:rsidRDefault="000406AD" w:rsidP="00325C04">
            <w:pPr>
              <w:jc w:val="center"/>
              <w:cnfStyle w:val="000000100000" w:firstRow="0" w:lastRow="0" w:firstColumn="0" w:lastColumn="0" w:oddVBand="0" w:evenVBand="0" w:oddHBand="1" w:evenHBand="0" w:firstRowFirstColumn="0" w:firstRowLastColumn="0" w:lastRowFirstColumn="0" w:lastRowLastColumn="0"/>
              <w:rPr>
                <w:rFonts w:ascii="Segoe UI" w:hAnsi="Segoe UI"/>
                <w:sz w:val="18"/>
                <w:szCs w:val="18"/>
              </w:rPr>
            </w:pPr>
            <w:r>
              <w:rPr>
                <w:rFonts w:ascii="Segoe UI" w:hAnsi="Segoe UI"/>
                <w:sz w:val="18"/>
                <w:szCs w:val="18"/>
              </w:rPr>
              <w:t>0</w:t>
            </w:r>
          </w:p>
        </w:tc>
      </w:tr>
      <w:tr w:rsidR="000406AD" w:rsidTr="00325C04">
        <w:tc>
          <w:tcPr>
            <w:cnfStyle w:val="001000000000" w:firstRow="0" w:lastRow="0" w:firstColumn="1" w:lastColumn="0" w:oddVBand="0" w:evenVBand="0" w:oddHBand="0" w:evenHBand="0" w:firstRowFirstColumn="0" w:firstRowLastColumn="0" w:lastRowFirstColumn="0" w:lastRowLastColumn="0"/>
            <w:tcW w:w="2542" w:type="dxa"/>
          </w:tcPr>
          <w:p w:rsidR="000406AD" w:rsidRPr="00AB5FC6" w:rsidRDefault="000406AD" w:rsidP="000406AD">
            <w:pPr>
              <w:pStyle w:val="ListParagraph"/>
              <w:numPr>
                <w:ilvl w:val="0"/>
                <w:numId w:val="7"/>
              </w:numPr>
              <w:spacing w:before="60"/>
              <w:jc w:val="left"/>
            </w:pPr>
            <w:r>
              <w:t>Care r</w:t>
            </w:r>
            <w:r w:rsidRPr="00AB5FC6">
              <w:t xml:space="preserve">ationing </w:t>
            </w:r>
          </w:p>
        </w:tc>
        <w:tc>
          <w:tcPr>
            <w:tcW w:w="4678" w:type="dxa"/>
          </w:tcPr>
          <w:p w:rsidR="000406AD" w:rsidRPr="00AB5FC6" w:rsidRDefault="000406AD" w:rsidP="00B31053">
            <w:pPr>
              <w:jc w:val="left"/>
              <w:cnfStyle w:val="000000000000" w:firstRow="0" w:lastRow="0" w:firstColumn="0" w:lastColumn="0" w:oddVBand="0" w:evenVBand="0" w:oddHBand="0" w:evenHBand="0" w:firstRowFirstColumn="0" w:firstRowLastColumn="0" w:lastRowFirstColumn="0" w:lastRowLastColumn="0"/>
              <w:rPr>
                <w:rFonts w:ascii="Segoe UI" w:hAnsi="Segoe UI"/>
                <w:sz w:val="18"/>
                <w:szCs w:val="18"/>
              </w:rPr>
            </w:pPr>
            <w:r>
              <w:rPr>
                <w:rFonts w:ascii="Segoe UI" w:hAnsi="Segoe UI"/>
                <w:sz w:val="18"/>
                <w:szCs w:val="18"/>
              </w:rPr>
              <w:t>Required patient care that is either omitted, unduly delayed, delivered at a substandard level or delegated inappropriately to someone not qualified to complete it.</w:t>
            </w:r>
          </w:p>
        </w:tc>
        <w:tc>
          <w:tcPr>
            <w:tcW w:w="890" w:type="dxa"/>
          </w:tcPr>
          <w:p w:rsidR="000406AD" w:rsidRDefault="000406AD" w:rsidP="00325C04">
            <w:pPr>
              <w:jc w:val="center"/>
              <w:cnfStyle w:val="000000000000" w:firstRow="0" w:lastRow="0" w:firstColumn="0" w:lastColumn="0" w:oddVBand="0" w:evenVBand="0" w:oddHBand="0" w:evenHBand="0" w:firstRowFirstColumn="0" w:firstRowLastColumn="0" w:lastRowFirstColumn="0" w:lastRowLastColumn="0"/>
              <w:rPr>
                <w:rFonts w:ascii="Segoe UI" w:hAnsi="Segoe UI"/>
                <w:sz w:val="18"/>
                <w:szCs w:val="18"/>
              </w:rPr>
            </w:pPr>
            <w:r>
              <w:rPr>
                <w:rFonts w:ascii="Segoe UI" w:hAnsi="Segoe UI"/>
                <w:sz w:val="18"/>
                <w:szCs w:val="18"/>
              </w:rPr>
              <w:t>6</w:t>
            </w:r>
          </w:p>
        </w:tc>
        <w:tc>
          <w:tcPr>
            <w:tcW w:w="890" w:type="dxa"/>
          </w:tcPr>
          <w:p w:rsidR="000406AD" w:rsidRDefault="000406AD" w:rsidP="00325C04">
            <w:pPr>
              <w:jc w:val="center"/>
              <w:cnfStyle w:val="000000000000" w:firstRow="0" w:lastRow="0" w:firstColumn="0" w:lastColumn="0" w:oddVBand="0" w:evenVBand="0" w:oddHBand="0" w:evenHBand="0" w:firstRowFirstColumn="0" w:firstRowLastColumn="0" w:lastRowFirstColumn="0" w:lastRowLastColumn="0"/>
              <w:rPr>
                <w:rFonts w:ascii="Segoe UI" w:hAnsi="Segoe UI"/>
                <w:sz w:val="18"/>
                <w:szCs w:val="18"/>
              </w:rPr>
            </w:pPr>
            <w:r>
              <w:rPr>
                <w:rFonts w:ascii="Segoe UI" w:hAnsi="Segoe UI"/>
                <w:sz w:val="18"/>
                <w:szCs w:val="18"/>
              </w:rPr>
              <w:t>0</w:t>
            </w:r>
          </w:p>
        </w:tc>
      </w:tr>
      <w:tr w:rsidR="000406AD" w:rsidTr="009B6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tcBorders>
              <w:top w:val="none" w:sz="0" w:space="0" w:color="auto"/>
              <w:left w:val="none" w:sz="0" w:space="0" w:color="auto"/>
              <w:bottom w:val="none" w:sz="0" w:space="0" w:color="auto"/>
            </w:tcBorders>
          </w:tcPr>
          <w:p w:rsidR="000406AD" w:rsidRPr="00AB5FC6" w:rsidRDefault="000406AD" w:rsidP="000406AD">
            <w:pPr>
              <w:pStyle w:val="ListParagraph"/>
              <w:numPr>
                <w:ilvl w:val="0"/>
                <w:numId w:val="7"/>
              </w:numPr>
              <w:jc w:val="left"/>
            </w:pPr>
            <w:r w:rsidRPr="00AB5FC6">
              <w:lastRenderedPageBreak/>
              <w:t>Professional judgment</w:t>
            </w:r>
            <w:r>
              <w:t xml:space="preserve"> deems it is unsafe</w:t>
            </w:r>
          </w:p>
        </w:tc>
        <w:tc>
          <w:tcPr>
            <w:tcW w:w="4678" w:type="dxa"/>
            <w:tcBorders>
              <w:top w:val="none" w:sz="0" w:space="0" w:color="auto"/>
              <w:bottom w:val="none" w:sz="0" w:space="0" w:color="auto"/>
            </w:tcBorders>
          </w:tcPr>
          <w:p w:rsidR="000406AD" w:rsidRDefault="000406AD" w:rsidP="00B31053">
            <w:pPr>
              <w:jc w:val="left"/>
              <w:cnfStyle w:val="000000100000" w:firstRow="0" w:lastRow="0" w:firstColumn="0" w:lastColumn="0" w:oddVBand="0" w:evenVBand="0" w:oddHBand="1" w:evenHBand="0" w:firstRowFirstColumn="0" w:firstRowLastColumn="0" w:lastRowFirstColumn="0" w:lastRowLastColumn="0"/>
            </w:pPr>
            <w:r w:rsidRPr="005E162E">
              <w:rPr>
                <w:rFonts w:ascii="Segoe UI" w:hAnsi="Segoe UI"/>
                <w:sz w:val="18"/>
                <w:szCs w:val="18"/>
              </w:rPr>
              <w:t>Workloads, environment, teamwork</w:t>
            </w:r>
            <w:r>
              <w:rPr>
                <w:rFonts w:ascii="Segoe UI" w:hAnsi="Segoe UI"/>
                <w:sz w:val="18"/>
                <w:szCs w:val="18"/>
              </w:rPr>
              <w:t>.</w:t>
            </w:r>
          </w:p>
        </w:tc>
        <w:tc>
          <w:tcPr>
            <w:tcW w:w="890" w:type="dxa"/>
            <w:tcBorders>
              <w:top w:val="none" w:sz="0" w:space="0" w:color="auto"/>
              <w:bottom w:val="none" w:sz="0" w:space="0" w:color="auto"/>
            </w:tcBorders>
          </w:tcPr>
          <w:p w:rsidR="000406AD" w:rsidRPr="00F750D3" w:rsidRDefault="000406AD" w:rsidP="00325C04">
            <w:pPr>
              <w:jc w:val="center"/>
              <w:cnfStyle w:val="000000100000" w:firstRow="0" w:lastRow="0" w:firstColumn="0" w:lastColumn="0" w:oddVBand="0" w:evenVBand="0" w:oddHBand="1" w:evenHBand="0" w:firstRowFirstColumn="0" w:firstRowLastColumn="0" w:lastRowFirstColumn="0" w:lastRowLastColumn="0"/>
              <w:rPr>
                <w:rFonts w:ascii="Segoe UI" w:hAnsi="Segoe UI"/>
                <w:sz w:val="18"/>
                <w:szCs w:val="18"/>
              </w:rPr>
            </w:pPr>
            <w:r>
              <w:rPr>
                <w:rFonts w:ascii="Segoe UI" w:hAnsi="Segoe UI"/>
                <w:sz w:val="18"/>
                <w:szCs w:val="18"/>
              </w:rPr>
              <w:t>7</w:t>
            </w:r>
          </w:p>
        </w:tc>
        <w:tc>
          <w:tcPr>
            <w:tcW w:w="890" w:type="dxa"/>
            <w:tcBorders>
              <w:top w:val="none" w:sz="0" w:space="0" w:color="auto"/>
              <w:bottom w:val="none" w:sz="0" w:space="0" w:color="auto"/>
              <w:right w:val="none" w:sz="0" w:space="0" w:color="auto"/>
            </w:tcBorders>
          </w:tcPr>
          <w:p w:rsidR="000406AD" w:rsidRPr="00F750D3" w:rsidRDefault="000406AD" w:rsidP="00325C04">
            <w:pPr>
              <w:jc w:val="center"/>
              <w:cnfStyle w:val="000000100000" w:firstRow="0" w:lastRow="0" w:firstColumn="0" w:lastColumn="0" w:oddVBand="0" w:evenVBand="0" w:oddHBand="1" w:evenHBand="0" w:firstRowFirstColumn="0" w:firstRowLastColumn="0" w:lastRowFirstColumn="0" w:lastRowLastColumn="0"/>
              <w:rPr>
                <w:rFonts w:ascii="Segoe UI" w:hAnsi="Segoe UI"/>
                <w:sz w:val="18"/>
                <w:szCs w:val="18"/>
              </w:rPr>
            </w:pPr>
            <w:r>
              <w:rPr>
                <w:rFonts w:ascii="Segoe UI" w:hAnsi="Segoe UI"/>
                <w:sz w:val="18"/>
                <w:szCs w:val="18"/>
              </w:rPr>
              <w:t>0</w:t>
            </w:r>
          </w:p>
        </w:tc>
      </w:tr>
    </w:tbl>
    <w:p w:rsidR="009B681E" w:rsidRDefault="009B681E" w:rsidP="00B31053">
      <w:pPr>
        <w:jc w:val="left"/>
      </w:pPr>
    </w:p>
    <w:p w:rsidR="000406AD" w:rsidRDefault="000406AD" w:rsidP="00B31053">
      <w:pPr>
        <w:jc w:val="left"/>
      </w:pPr>
      <w:bookmarkStart w:id="0" w:name="_GoBack"/>
      <w:bookmarkEnd w:id="0"/>
      <w:r>
        <w:t>Every combination of the weighted score has been mathematically tested against the traffic light system and descriptor. Care rationing and professional judgment have the highest weighted scores. This is because they are associated with a high risk of negative consequences or negative consequences being apparent (see Table 2, traffic light orange and red).</w:t>
      </w:r>
    </w:p>
    <w:p w:rsidR="000406AD" w:rsidRDefault="000406AD" w:rsidP="00B31053">
      <w:pPr>
        <w:jc w:val="left"/>
      </w:pPr>
      <w:r>
        <w:t>A weighted score is used to ensure that system design prevents a possible user error. For example, the selection of positive care hours (-1) and care rationing (+1) would result in a total score of 0. This would mean the ward/unit was in green i.e. staffing meets demand. By definition (Table 2) the ward is not in green if care rationing is occurring.</w:t>
      </w:r>
    </w:p>
    <w:p w:rsidR="000406AD" w:rsidRDefault="000406AD" w:rsidP="00B31053">
      <w:pPr>
        <w:jc w:val="left"/>
      </w:pPr>
      <w:r>
        <w:t xml:space="preserve">The variance indicator score can be applied in emergency and </w:t>
      </w:r>
      <w:r w:rsidR="00B31053">
        <w:t xml:space="preserve">perioperative departments </w:t>
      </w:r>
      <w:r>
        <w:t>or allied health. Negative and positive hours (from a patient acuity system) can be replaced by variance to agreed roster models. For example, 8 staff are required on the roster model, but the department is short 1 FTE on the day. This would result in yes for negative care hour’s variance. All other indicators apply. Testing in these areas would be useful.</w:t>
      </w:r>
    </w:p>
    <w:p w:rsidR="000406AD" w:rsidRDefault="000406AD" w:rsidP="000406AD">
      <w:pPr>
        <w:pStyle w:val="Heading1"/>
      </w:pPr>
      <w:r>
        <w:t>Variance indicator scoring is completed using an electronic system</w:t>
      </w:r>
    </w:p>
    <w:p w:rsidR="000406AD" w:rsidRDefault="000406AD" w:rsidP="00B31053">
      <w:pPr>
        <w:jc w:val="left"/>
      </w:pPr>
      <w:r>
        <w:t xml:space="preserve">The shift coordinator completes the variance indicators using a team huddle. Yes/no responses are </w:t>
      </w:r>
      <w:r w:rsidRPr="00940E6B">
        <w:t>entered</w:t>
      </w:r>
      <w:r>
        <w:t xml:space="preserve"> directly into an electronic reporting system. Every indicator must have a yes or no response. The system automatically displays a traffic light colour (representing the total score) on the hospitals capacity at a glance screen. Staff use standard operating procedures to respond to the traffic light status.</w:t>
      </w:r>
    </w:p>
    <w:p w:rsidR="000406AD" w:rsidRDefault="000406AD" w:rsidP="000406AD">
      <w:pPr>
        <w:pStyle w:val="ItemHeading"/>
      </w:pPr>
      <w:r>
        <w:t xml:space="preserve">Table </w:t>
      </w:r>
      <w:r w:rsidR="009B681E">
        <w:fldChar w:fldCharType="begin"/>
      </w:r>
      <w:r w:rsidR="009B681E">
        <w:instrText xml:space="preserve"> SEQ Table \* ARABIC </w:instrText>
      </w:r>
      <w:r w:rsidR="009B681E">
        <w:fldChar w:fldCharType="separate"/>
      </w:r>
      <w:r>
        <w:rPr>
          <w:noProof/>
        </w:rPr>
        <w:t>2</w:t>
      </w:r>
      <w:r w:rsidR="009B681E">
        <w:rPr>
          <w:noProof/>
        </w:rPr>
        <w:fldChar w:fldCharType="end"/>
      </w:r>
      <w:r>
        <w:t xml:space="preserve"> - </w:t>
      </w:r>
      <w:r w:rsidRPr="00D12FC0">
        <w:t>Variance indicator traffic light status</w:t>
      </w:r>
    </w:p>
    <w:tbl>
      <w:tblPr>
        <w:tblStyle w:val="TableGrid"/>
        <w:tblW w:w="0" w:type="auto"/>
        <w:tblBorders>
          <w:top w:val="single" w:sz="4" w:space="0" w:color="9B0000"/>
          <w:left w:val="single" w:sz="4" w:space="0" w:color="9B0000"/>
          <w:bottom w:val="single" w:sz="4" w:space="0" w:color="9B0000"/>
          <w:right w:val="single" w:sz="4" w:space="0" w:color="9B0000"/>
          <w:insideH w:val="single" w:sz="4" w:space="0" w:color="9B0000"/>
          <w:insideV w:val="single" w:sz="4" w:space="0" w:color="9B0000"/>
        </w:tblBorders>
        <w:tblLook w:val="04A0" w:firstRow="1" w:lastRow="0" w:firstColumn="1" w:lastColumn="0" w:noHBand="0" w:noVBand="1"/>
      </w:tblPr>
      <w:tblGrid>
        <w:gridCol w:w="988"/>
        <w:gridCol w:w="1417"/>
        <w:gridCol w:w="6605"/>
      </w:tblGrid>
      <w:tr w:rsidR="000406AD" w:rsidTr="00325C04">
        <w:tc>
          <w:tcPr>
            <w:tcW w:w="988" w:type="dxa"/>
            <w:shd w:val="clear" w:color="auto" w:fill="9B0000"/>
          </w:tcPr>
          <w:p w:rsidR="000406AD" w:rsidRPr="00277E93" w:rsidRDefault="000406AD" w:rsidP="00325C04">
            <w:pPr>
              <w:spacing w:after="0"/>
              <w:rPr>
                <w:b/>
                <w:color w:val="FFFFFF" w:themeColor="background1"/>
              </w:rPr>
            </w:pPr>
            <w:r w:rsidRPr="00277E93">
              <w:rPr>
                <w:b/>
                <w:color w:val="FFFFFF" w:themeColor="background1"/>
              </w:rPr>
              <w:t>Score</w:t>
            </w:r>
          </w:p>
        </w:tc>
        <w:tc>
          <w:tcPr>
            <w:tcW w:w="1417" w:type="dxa"/>
            <w:shd w:val="clear" w:color="auto" w:fill="9B0000"/>
          </w:tcPr>
          <w:p w:rsidR="000406AD" w:rsidRPr="00277E93" w:rsidRDefault="000406AD" w:rsidP="00325C04">
            <w:pPr>
              <w:spacing w:after="0"/>
              <w:rPr>
                <w:b/>
                <w:color w:val="FFFFFF" w:themeColor="background1"/>
              </w:rPr>
            </w:pPr>
            <w:r w:rsidRPr="00277E93">
              <w:rPr>
                <w:b/>
                <w:color w:val="FFFFFF" w:themeColor="background1"/>
              </w:rPr>
              <w:t>Traffic Light</w:t>
            </w:r>
          </w:p>
        </w:tc>
        <w:tc>
          <w:tcPr>
            <w:tcW w:w="6605" w:type="dxa"/>
            <w:shd w:val="clear" w:color="auto" w:fill="9B0000"/>
          </w:tcPr>
          <w:p w:rsidR="000406AD" w:rsidRPr="00277E93" w:rsidRDefault="000406AD" w:rsidP="00325C04">
            <w:pPr>
              <w:spacing w:after="0"/>
              <w:rPr>
                <w:b/>
                <w:color w:val="FFFFFF" w:themeColor="background1"/>
              </w:rPr>
            </w:pPr>
            <w:r w:rsidRPr="00277E93">
              <w:rPr>
                <w:b/>
                <w:color w:val="FFFFFF" w:themeColor="background1"/>
              </w:rPr>
              <w:t>Descriptor</w:t>
            </w:r>
          </w:p>
        </w:tc>
      </w:tr>
      <w:tr w:rsidR="000406AD" w:rsidTr="00325C04">
        <w:tc>
          <w:tcPr>
            <w:tcW w:w="988" w:type="dxa"/>
            <w:vAlign w:val="center"/>
          </w:tcPr>
          <w:p w:rsidR="000406AD" w:rsidRDefault="000406AD" w:rsidP="00325C04">
            <w:pPr>
              <w:spacing w:after="0"/>
            </w:pPr>
            <w:r>
              <w:t>-1</w:t>
            </w:r>
          </w:p>
        </w:tc>
        <w:tc>
          <w:tcPr>
            <w:tcW w:w="1417" w:type="dxa"/>
            <w:vAlign w:val="center"/>
          </w:tcPr>
          <w:p w:rsidR="000406AD" w:rsidRDefault="000406AD" w:rsidP="00325C04">
            <w:pPr>
              <w:spacing w:after="0"/>
              <w:jc w:val="center"/>
            </w:pPr>
            <w:r>
              <w:rPr>
                <w:noProof/>
                <w:lang w:val="en-NZ" w:eastAsia="en-NZ"/>
              </w:rPr>
              <w:drawing>
                <wp:inline distT="0" distB="0" distL="0" distR="0" wp14:anchorId="3BD9D60D" wp14:editId="2EF5762F">
                  <wp:extent cx="438785" cy="43878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pic:spPr>
                      </pic:pic>
                    </a:graphicData>
                  </a:graphic>
                </wp:inline>
              </w:drawing>
            </w:r>
          </w:p>
        </w:tc>
        <w:tc>
          <w:tcPr>
            <w:tcW w:w="6605" w:type="dxa"/>
            <w:vAlign w:val="center"/>
          </w:tcPr>
          <w:p w:rsidR="000406AD" w:rsidRPr="00277E93" w:rsidRDefault="000406AD" w:rsidP="00325C04">
            <w:pPr>
              <w:spacing w:after="0"/>
              <w:rPr>
                <w:lang w:val="en-NZ"/>
              </w:rPr>
            </w:pPr>
            <w:r w:rsidRPr="0096685B">
              <w:rPr>
                <w:b/>
                <w:lang w:val="en-NZ"/>
              </w:rPr>
              <w:t>Excess care capacity</w:t>
            </w:r>
            <w:r>
              <w:rPr>
                <w:lang w:val="en-NZ"/>
              </w:rPr>
              <w:t xml:space="preserve"> – </w:t>
            </w:r>
            <w:r>
              <w:t>t</w:t>
            </w:r>
            <w:r w:rsidRPr="00E57699">
              <w:t>he</w:t>
            </w:r>
            <w:r>
              <w:t xml:space="preserve"> ward/unit</w:t>
            </w:r>
            <w:r w:rsidRPr="00E57699">
              <w:t xml:space="preserve"> has spare capacity at present (i.e. could take </w:t>
            </w:r>
            <w:r>
              <w:t>more patients, share staff or offer staff short notice leave).</w:t>
            </w:r>
          </w:p>
        </w:tc>
      </w:tr>
      <w:tr w:rsidR="000406AD" w:rsidTr="00325C04">
        <w:tc>
          <w:tcPr>
            <w:tcW w:w="988" w:type="dxa"/>
            <w:vAlign w:val="center"/>
          </w:tcPr>
          <w:p w:rsidR="000406AD" w:rsidRDefault="000406AD" w:rsidP="00325C04">
            <w:pPr>
              <w:spacing w:after="0"/>
            </w:pPr>
            <w:r>
              <w:t>0 – 4</w:t>
            </w:r>
          </w:p>
        </w:tc>
        <w:tc>
          <w:tcPr>
            <w:tcW w:w="1417" w:type="dxa"/>
            <w:vAlign w:val="center"/>
          </w:tcPr>
          <w:p w:rsidR="000406AD" w:rsidRDefault="000406AD" w:rsidP="00325C04">
            <w:pPr>
              <w:spacing w:after="0"/>
              <w:jc w:val="center"/>
            </w:pPr>
            <w:r>
              <w:rPr>
                <w:noProof/>
                <w:lang w:val="en-NZ" w:eastAsia="en-NZ"/>
              </w:rPr>
              <w:drawing>
                <wp:inline distT="0" distB="0" distL="0" distR="0" wp14:anchorId="19C3AB2A" wp14:editId="028A25AE">
                  <wp:extent cx="438785" cy="43878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pic:spPr>
                      </pic:pic>
                    </a:graphicData>
                  </a:graphic>
                </wp:inline>
              </w:drawing>
            </w:r>
          </w:p>
        </w:tc>
        <w:tc>
          <w:tcPr>
            <w:tcW w:w="6605" w:type="dxa"/>
            <w:vAlign w:val="center"/>
          </w:tcPr>
          <w:p w:rsidR="000406AD" w:rsidRPr="00277E93" w:rsidRDefault="000406AD" w:rsidP="00325C04">
            <w:pPr>
              <w:spacing w:after="0"/>
              <w:rPr>
                <w:lang w:val="en-NZ"/>
              </w:rPr>
            </w:pPr>
            <w:r w:rsidRPr="0096685B">
              <w:rPr>
                <w:b/>
              </w:rPr>
              <w:t>Staffing meets demand</w:t>
            </w:r>
            <w:r>
              <w:t xml:space="preserve"> – t</w:t>
            </w:r>
            <w:r w:rsidRPr="00E57699">
              <w:t>he</w:t>
            </w:r>
            <w:r>
              <w:t xml:space="preserve"> ward/unit</w:t>
            </w:r>
            <w:r w:rsidRPr="00E57699">
              <w:t xml:space="preserve"> has a good match between what needs to be done and the resources available</w:t>
            </w:r>
            <w:r>
              <w:t>.</w:t>
            </w:r>
          </w:p>
        </w:tc>
      </w:tr>
      <w:tr w:rsidR="000406AD" w:rsidTr="00325C04">
        <w:tc>
          <w:tcPr>
            <w:tcW w:w="988" w:type="dxa"/>
            <w:vAlign w:val="center"/>
          </w:tcPr>
          <w:p w:rsidR="000406AD" w:rsidRDefault="000406AD" w:rsidP="00325C04">
            <w:pPr>
              <w:spacing w:after="0"/>
            </w:pPr>
            <w:r>
              <w:t>5 – 11</w:t>
            </w:r>
          </w:p>
        </w:tc>
        <w:tc>
          <w:tcPr>
            <w:tcW w:w="1417" w:type="dxa"/>
            <w:shd w:val="clear" w:color="auto" w:fill="auto"/>
            <w:vAlign w:val="bottom"/>
          </w:tcPr>
          <w:p w:rsidR="000406AD" w:rsidRDefault="000406AD" w:rsidP="00325C04">
            <w:pPr>
              <w:spacing w:after="0"/>
              <w:jc w:val="center"/>
            </w:pPr>
            <w:r>
              <w:rPr>
                <w:noProof/>
                <w:lang w:val="en-NZ" w:eastAsia="en-NZ"/>
              </w:rPr>
              <mc:AlternateContent>
                <mc:Choice Requires="wps">
                  <w:drawing>
                    <wp:inline distT="0" distB="0" distL="0" distR="0" wp14:anchorId="08D43944" wp14:editId="50A589E5">
                      <wp:extent cx="419100" cy="400050"/>
                      <wp:effectExtent l="0" t="0" r="0" b="0"/>
                      <wp:docPr id="1" name="Oval 1"/>
                      <wp:cNvGraphicFramePr/>
                      <a:graphic xmlns:a="http://schemas.openxmlformats.org/drawingml/2006/main">
                        <a:graphicData uri="http://schemas.microsoft.com/office/word/2010/wordprocessingShape">
                          <wps:wsp>
                            <wps:cNvSpPr/>
                            <wps:spPr>
                              <a:xfrm>
                                <a:off x="0" y="0"/>
                                <a:ext cx="419100" cy="40005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1C3E29E" id="Oval 1" o:spid="_x0000_s1026" style="width:33pt;height: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" fillcolor="#ffca08 [3204]" stroked="f" strokeweight="1pt">
                      <v:stroke joinstyle="miter"/>
                      <w10:anchorlock/>
                    </v:oval>
                  </w:pict>
                </mc:Fallback>
              </mc:AlternateContent>
            </w:r>
          </w:p>
        </w:tc>
        <w:tc>
          <w:tcPr>
            <w:tcW w:w="6605" w:type="dxa"/>
            <w:vAlign w:val="center"/>
          </w:tcPr>
          <w:p w:rsidR="000406AD" w:rsidRPr="0096685B" w:rsidRDefault="000406AD" w:rsidP="00325C04">
            <w:r w:rsidRPr="0096685B">
              <w:rPr>
                <w:b/>
                <w:lang w:val="en-NZ"/>
              </w:rPr>
              <w:t>Early variance</w:t>
            </w:r>
            <w:r>
              <w:rPr>
                <w:lang w:val="en-NZ"/>
              </w:rPr>
              <w:t xml:space="preserve"> – </w:t>
            </w:r>
            <w:r>
              <w:t>t</w:t>
            </w:r>
            <w:r w:rsidRPr="00E57699">
              <w:t>he</w:t>
            </w:r>
            <w:r>
              <w:t xml:space="preserve"> ward/unit</w:t>
            </w:r>
            <w:r w:rsidRPr="00E57699">
              <w:t xml:space="preserve"> is stretched to maximum capacity and there are signs o</w:t>
            </w:r>
            <w:r>
              <w:t>f stress on patient care delivery or staff.</w:t>
            </w:r>
          </w:p>
        </w:tc>
      </w:tr>
      <w:tr w:rsidR="000406AD" w:rsidTr="00325C04">
        <w:tc>
          <w:tcPr>
            <w:tcW w:w="988" w:type="dxa"/>
            <w:vAlign w:val="center"/>
          </w:tcPr>
          <w:p w:rsidR="000406AD" w:rsidRDefault="000406AD" w:rsidP="00325C04">
            <w:pPr>
              <w:spacing w:after="0"/>
            </w:pPr>
            <w:r>
              <w:t>12 – 17</w:t>
            </w:r>
          </w:p>
        </w:tc>
        <w:tc>
          <w:tcPr>
            <w:tcW w:w="1417" w:type="dxa"/>
            <w:vAlign w:val="center"/>
          </w:tcPr>
          <w:p w:rsidR="000406AD" w:rsidRDefault="000406AD" w:rsidP="00325C04">
            <w:pPr>
              <w:spacing w:after="0"/>
              <w:jc w:val="center"/>
            </w:pPr>
            <w:r>
              <w:rPr>
                <w:noProof/>
                <w:lang w:val="en-NZ" w:eastAsia="en-NZ"/>
              </w:rPr>
              <w:drawing>
                <wp:inline distT="0" distB="0" distL="0" distR="0" wp14:anchorId="79A7FCC1" wp14:editId="3C988295">
                  <wp:extent cx="438785" cy="43878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97000"/>
                                    </a14:imgEffect>
                                    <a14:imgEffect>
                                      <a14:brightnessContrast contrast="10000"/>
                                    </a14:imgEffect>
                                  </a14:imgLayer>
                                </a14:imgProps>
                              </a:ex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pic:spPr>
                      </pic:pic>
                    </a:graphicData>
                  </a:graphic>
                </wp:inline>
              </w:drawing>
            </w:r>
          </w:p>
        </w:tc>
        <w:tc>
          <w:tcPr>
            <w:tcW w:w="6605" w:type="dxa"/>
            <w:vAlign w:val="center"/>
          </w:tcPr>
          <w:p w:rsidR="000406AD" w:rsidRPr="00277E93" w:rsidRDefault="000406AD" w:rsidP="00325C04">
            <w:pPr>
              <w:spacing w:after="0"/>
              <w:rPr>
                <w:lang w:val="en-NZ"/>
              </w:rPr>
            </w:pPr>
            <w:r w:rsidRPr="0096685B">
              <w:rPr>
                <w:b/>
                <w:lang w:val="en-NZ"/>
              </w:rPr>
              <w:t>Significant care capacity deficit</w:t>
            </w:r>
            <w:r>
              <w:rPr>
                <w:lang w:val="en-NZ"/>
              </w:rPr>
              <w:t xml:space="preserve"> – the ward/unit</w:t>
            </w:r>
            <w:r w:rsidRPr="0096685B">
              <w:rPr>
                <w:lang w:val="en-NZ"/>
              </w:rPr>
              <w:t xml:space="preserve"> is working past its maximum capacity, sacrificing decisions are being made, and there is a hi</w:t>
            </w:r>
            <w:r>
              <w:rPr>
                <w:lang w:val="en-NZ"/>
              </w:rPr>
              <w:t>gh risk of negative consequences.</w:t>
            </w:r>
          </w:p>
        </w:tc>
      </w:tr>
      <w:tr w:rsidR="000406AD" w:rsidTr="00325C04">
        <w:tc>
          <w:tcPr>
            <w:tcW w:w="988" w:type="dxa"/>
            <w:vAlign w:val="center"/>
          </w:tcPr>
          <w:p w:rsidR="000406AD" w:rsidRDefault="000406AD" w:rsidP="00325C04">
            <w:pPr>
              <w:spacing w:after="0"/>
            </w:pPr>
            <w:r>
              <w:t>18 – 21</w:t>
            </w:r>
          </w:p>
        </w:tc>
        <w:tc>
          <w:tcPr>
            <w:tcW w:w="1417" w:type="dxa"/>
            <w:vAlign w:val="center"/>
          </w:tcPr>
          <w:p w:rsidR="000406AD" w:rsidRDefault="000406AD" w:rsidP="00325C04">
            <w:pPr>
              <w:spacing w:after="0"/>
              <w:jc w:val="center"/>
            </w:pPr>
            <w:r>
              <w:rPr>
                <w:noProof/>
                <w:lang w:val="en-NZ" w:eastAsia="en-NZ"/>
              </w:rPr>
              <w:drawing>
                <wp:inline distT="0" distB="0" distL="0" distR="0" wp14:anchorId="41D65B61" wp14:editId="577C7C7E">
                  <wp:extent cx="438785" cy="43878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pic:spPr>
                      </pic:pic>
                    </a:graphicData>
                  </a:graphic>
                </wp:inline>
              </w:drawing>
            </w:r>
          </w:p>
        </w:tc>
        <w:tc>
          <w:tcPr>
            <w:tcW w:w="6605" w:type="dxa"/>
            <w:vAlign w:val="center"/>
          </w:tcPr>
          <w:p w:rsidR="000406AD" w:rsidRPr="00277E93" w:rsidRDefault="000406AD" w:rsidP="00325C04">
            <w:pPr>
              <w:spacing w:after="0"/>
              <w:rPr>
                <w:lang w:val="en-NZ"/>
              </w:rPr>
            </w:pPr>
            <w:r w:rsidRPr="0096685B">
              <w:rPr>
                <w:b/>
                <w:lang w:val="en-NZ"/>
              </w:rPr>
              <w:t>Critical care capacity deficit</w:t>
            </w:r>
            <w:r>
              <w:rPr>
                <w:lang w:val="en-NZ"/>
              </w:rPr>
              <w:t xml:space="preserve"> – </w:t>
            </w:r>
            <w:r>
              <w:t>t</w:t>
            </w:r>
            <w:r w:rsidRPr="00E57699">
              <w:t>he</w:t>
            </w:r>
            <w:r>
              <w:t xml:space="preserve"> </w:t>
            </w:r>
            <w:r w:rsidRPr="00E57699">
              <w:t>service is operating in a critically degraded state with negative consequences apparent</w:t>
            </w:r>
            <w:r>
              <w:t>.</w:t>
            </w:r>
          </w:p>
        </w:tc>
      </w:tr>
    </w:tbl>
    <w:p w:rsidR="000406AD" w:rsidRDefault="000406AD" w:rsidP="000406AD"/>
    <w:p w:rsidR="000406AD" w:rsidRDefault="000406AD" w:rsidP="00B31053">
      <w:pPr>
        <w:pStyle w:val="Heading1"/>
        <w:jc w:val="left"/>
      </w:pPr>
      <w:r>
        <w:lastRenderedPageBreak/>
        <w:t>Scoring is done once per shift and when the ward/unit status changes</w:t>
      </w:r>
    </w:p>
    <w:p w:rsidR="000406AD" w:rsidRDefault="000406AD" w:rsidP="00B31053">
      <w:pPr>
        <w:jc w:val="left"/>
      </w:pPr>
      <w:r>
        <w:t>Variance indicator scoring is completed at the beginning of the shift. It should take no longer than a minute to complete.  Scoring is repeated at any time when the ward/unit status changes. This includes when the ward returns to green (or mauve).</w:t>
      </w:r>
    </w:p>
    <w:p w:rsidR="000406AD" w:rsidRDefault="000406AD" w:rsidP="00B31053">
      <w:pPr>
        <w:jc w:val="left"/>
      </w:pPr>
      <w:r>
        <w:t>Monitoring and response to variance indicator scoring occurs in real time. The number of times a ward/unit goes outside of the optimal functioning is reported monthly (alongside other measures) to the CCDM council.</w:t>
      </w:r>
    </w:p>
    <w:p w:rsidR="000406AD" w:rsidRDefault="000406AD" w:rsidP="00B31053">
      <w:pPr>
        <w:jc w:val="left"/>
      </w:pPr>
      <w:r>
        <w:t>The hospital has an overall status derived from each ward/units variance indicator score. For example when 50% of wards are in orange the hospital is in red. The hospital overall status needs to be developed locally.</w:t>
      </w:r>
    </w:p>
    <w:p w:rsidR="000406AD" w:rsidRDefault="000406AD" w:rsidP="00B31053">
      <w:pPr>
        <w:pStyle w:val="Heading1"/>
        <w:jc w:val="left"/>
      </w:pPr>
      <w:r>
        <w:t>Frontline staff complete variance indicator scoring</w:t>
      </w:r>
    </w:p>
    <w:p w:rsidR="000406AD" w:rsidRDefault="000406AD" w:rsidP="00B31053">
      <w:pPr>
        <w:jc w:val="left"/>
      </w:pPr>
      <w:r>
        <w:t xml:space="preserve">The shift coordinator takes responsibility for ensuring the variance indicator scoring is completed. All frontline staff can initiate and/or take part in variance indicator scoring.  </w:t>
      </w:r>
    </w:p>
    <w:p w:rsidR="000406AD" w:rsidRDefault="000406AD" w:rsidP="00B31053">
      <w:pPr>
        <w:pStyle w:val="Heading1"/>
        <w:jc w:val="left"/>
      </w:pPr>
      <w:r>
        <w:t>The variance indicators are supported by research</w:t>
      </w:r>
    </w:p>
    <w:p w:rsidR="000406AD" w:rsidRPr="00B31053" w:rsidRDefault="000406AD" w:rsidP="00B31053">
      <w:pPr>
        <w:jc w:val="left"/>
        <w:rPr>
          <w:rFonts w:asciiTheme="minorHAnsi" w:hAnsiTheme="minorHAnsi"/>
        </w:rPr>
      </w:pPr>
      <w:r w:rsidRPr="00B31053">
        <w:rPr>
          <w:rFonts w:asciiTheme="minorHAnsi" w:hAnsiTheme="minorHAnsi"/>
        </w:rPr>
        <w:t>The literature on staffing and patient outcomes is extensive. The core data set directory summarises and references some of that literature. Key findings include:</w:t>
      </w:r>
    </w:p>
    <w:p w:rsidR="000406AD" w:rsidRPr="00B31053" w:rsidRDefault="000406AD" w:rsidP="00B31053">
      <w:pPr>
        <w:pStyle w:val="Bullets"/>
        <w:ind w:left="357"/>
        <w:jc w:val="left"/>
        <w:rPr>
          <w:color w:val="000000" w:themeColor="text1"/>
        </w:rPr>
      </w:pPr>
      <w:r w:rsidRPr="00B31053">
        <w:rPr>
          <w:color w:val="000000" w:themeColor="text1"/>
        </w:rPr>
        <w:t>Missed breaks are implicated in nurse fatigue, error rates, decision making and performance.</w:t>
      </w:r>
    </w:p>
    <w:p w:rsidR="000406AD" w:rsidRPr="00B31053" w:rsidRDefault="000406AD" w:rsidP="00B31053">
      <w:pPr>
        <w:pStyle w:val="Bullets"/>
        <w:ind w:left="357"/>
        <w:jc w:val="left"/>
        <w:rPr>
          <w:color w:val="000000" w:themeColor="text1"/>
          <w:lang w:eastAsia="en-NZ"/>
        </w:rPr>
      </w:pPr>
      <w:r w:rsidRPr="00B31053">
        <w:rPr>
          <w:color w:val="000000" w:themeColor="text1"/>
        </w:rPr>
        <w:t xml:space="preserve">Poor skills mix reduces </w:t>
      </w:r>
      <w:r w:rsidRPr="00B31053">
        <w:rPr>
          <w:color w:val="000000" w:themeColor="text1"/>
          <w:lang w:eastAsia="en-NZ"/>
        </w:rPr>
        <w:t>the chance of the right number of people with the right skills in the right place at the right time.</w:t>
      </w:r>
    </w:p>
    <w:p w:rsidR="000406AD" w:rsidRPr="00B31053" w:rsidRDefault="000406AD" w:rsidP="00B31053">
      <w:pPr>
        <w:pStyle w:val="Bullets"/>
        <w:ind w:left="357"/>
        <w:jc w:val="left"/>
        <w:rPr>
          <w:color w:val="000000" w:themeColor="text1"/>
        </w:rPr>
      </w:pPr>
      <w:r w:rsidRPr="00B31053">
        <w:rPr>
          <w:color w:val="000000" w:themeColor="text1"/>
        </w:rPr>
        <w:t>Higher levels of registered nurses have been associated with better patient outcomes.</w:t>
      </w:r>
    </w:p>
    <w:p w:rsidR="000406AD" w:rsidRPr="00B31053" w:rsidRDefault="000406AD" w:rsidP="00B31053">
      <w:pPr>
        <w:pStyle w:val="Bullets"/>
        <w:ind w:left="357"/>
        <w:jc w:val="left"/>
        <w:rPr>
          <w:color w:val="000000" w:themeColor="text1"/>
        </w:rPr>
      </w:pPr>
      <w:r w:rsidRPr="00B31053">
        <w:rPr>
          <w:color w:val="000000" w:themeColor="text1"/>
        </w:rPr>
        <w:t xml:space="preserve">Negative care </w:t>
      </w:r>
      <w:proofErr w:type="gramStart"/>
      <w:r w:rsidRPr="00B31053">
        <w:rPr>
          <w:color w:val="000000" w:themeColor="text1"/>
        </w:rPr>
        <w:t>hours</w:t>
      </w:r>
      <w:proofErr w:type="gramEnd"/>
      <w:r w:rsidRPr="00B31053">
        <w:rPr>
          <w:color w:val="000000" w:themeColor="text1"/>
        </w:rPr>
        <w:t xml:space="preserve"> variance impacts on patient outcomes such as mortality, length of stay and failure to rescue.</w:t>
      </w:r>
    </w:p>
    <w:p w:rsidR="000406AD" w:rsidRPr="00B31053" w:rsidRDefault="000406AD" w:rsidP="00B31053">
      <w:pPr>
        <w:pStyle w:val="Bullets"/>
        <w:ind w:left="357"/>
        <w:jc w:val="left"/>
        <w:rPr>
          <w:color w:val="000000" w:themeColor="text1"/>
        </w:rPr>
      </w:pPr>
      <w:r w:rsidRPr="00B31053">
        <w:rPr>
          <w:color w:val="000000" w:themeColor="text1"/>
        </w:rPr>
        <w:t xml:space="preserve">Positive care </w:t>
      </w:r>
      <w:proofErr w:type="gramStart"/>
      <w:r w:rsidRPr="00B31053">
        <w:rPr>
          <w:color w:val="000000" w:themeColor="text1"/>
        </w:rPr>
        <w:t>hours</w:t>
      </w:r>
      <w:proofErr w:type="gramEnd"/>
      <w:r w:rsidRPr="00B31053">
        <w:rPr>
          <w:color w:val="000000" w:themeColor="text1"/>
        </w:rPr>
        <w:t xml:space="preserve"> variance is not best use of health resources and may be at the expense of equity of care for patients in other wards/units.</w:t>
      </w:r>
    </w:p>
    <w:p w:rsidR="000406AD" w:rsidRPr="00B31053" w:rsidRDefault="000406AD" w:rsidP="00B31053">
      <w:pPr>
        <w:pStyle w:val="Bullets"/>
        <w:ind w:left="357"/>
        <w:jc w:val="left"/>
        <w:rPr>
          <w:color w:val="000000" w:themeColor="text1"/>
        </w:rPr>
      </w:pPr>
      <w:r w:rsidRPr="00B31053">
        <w:rPr>
          <w:color w:val="000000" w:themeColor="text1"/>
        </w:rPr>
        <w:t xml:space="preserve">Care rationing is reported by nurses across all cultures and countries. </w:t>
      </w:r>
    </w:p>
    <w:p w:rsidR="000406AD" w:rsidRPr="00B31053" w:rsidRDefault="000406AD" w:rsidP="00B31053">
      <w:pPr>
        <w:pStyle w:val="Bullets"/>
        <w:ind w:left="357"/>
        <w:jc w:val="left"/>
        <w:rPr>
          <w:color w:val="000000" w:themeColor="text1"/>
        </w:rPr>
      </w:pPr>
      <w:r w:rsidRPr="00B31053">
        <w:rPr>
          <w:color w:val="000000" w:themeColor="text1"/>
        </w:rPr>
        <w:t>Patients treated in hospitals with the highest care rationing level were more likely to die than those in peer institutions.</w:t>
      </w:r>
    </w:p>
    <w:p w:rsidR="000406AD" w:rsidRPr="00B31053" w:rsidRDefault="000406AD" w:rsidP="00B31053">
      <w:pPr>
        <w:pStyle w:val="Bullets"/>
        <w:ind w:left="357"/>
        <w:jc w:val="left"/>
        <w:rPr>
          <w:color w:val="000000" w:themeColor="text1"/>
        </w:rPr>
      </w:pPr>
      <w:r w:rsidRPr="00B31053">
        <w:t>Professional judgment is a sensitive indicator of patient safety with perceptions of quality care associated with lower patient mortality rates.</w:t>
      </w:r>
    </w:p>
    <w:sectPr w:rsidR="000406AD" w:rsidRPr="00B31053" w:rsidSect="009B681E">
      <w:headerReference w:type="default" r:id="rId13"/>
      <w:footerReference w:type="default" r:id="rId14"/>
      <w:pgSz w:w="11900" w:h="16840"/>
      <w:pgMar w:top="1135" w:right="1440" w:bottom="1560" w:left="1440" w:header="708"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6AD" w:rsidRDefault="000406AD" w:rsidP="00D318E2">
      <w:r>
        <w:separator/>
      </w:r>
    </w:p>
  </w:endnote>
  <w:endnote w:type="continuationSeparator" w:id="0">
    <w:p w:rsidR="000406AD" w:rsidRDefault="000406AD" w:rsidP="00D31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ABD" w:rsidRDefault="00BA647E" w:rsidP="004E6ABD">
    <w:pPr>
      <w:pStyle w:val="FooterText"/>
    </w:pPr>
    <w:r>
      <w:rPr>
        <w:noProof/>
        <w:lang w:val="en-NZ" w:eastAsia="en-NZ"/>
      </w:rPr>
      <w:drawing>
        <wp:anchor distT="0" distB="0" distL="114300" distR="114300" simplePos="0" relativeHeight="251659264" behindDoc="1" locked="0" layoutInCell="1" allowOverlap="1" wp14:anchorId="2333EA5E" wp14:editId="37552590">
          <wp:simplePos x="0" y="0"/>
          <wp:positionH relativeFrom="page">
            <wp:posOffset>255905</wp:posOffset>
          </wp:positionH>
          <wp:positionV relativeFrom="page">
            <wp:posOffset>10001682</wp:posOffset>
          </wp:positionV>
          <wp:extent cx="7127875" cy="359410"/>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7875" cy="359410"/>
                  </a:xfrm>
                  <a:prstGeom prst="rect">
                    <a:avLst/>
                  </a:prstGeom>
                  <a:noFill/>
                </pic:spPr>
              </pic:pic>
            </a:graphicData>
          </a:graphic>
          <wp14:sizeRelH relativeFrom="page">
            <wp14:pctWidth>0</wp14:pctWidth>
          </wp14:sizeRelH>
          <wp14:sizeRelV relativeFrom="page">
            <wp14:pctHeight>0</wp14:pctHeight>
          </wp14:sizeRelV>
        </wp:anchor>
      </w:drawing>
    </w:r>
    <w:fldSimple w:instr=" FILENAME \* MERGEFORMAT ">
      <w:r w:rsidR="008036B5">
        <w:rPr>
          <w:noProof/>
        </w:rPr>
        <w:t>7.16 Variance indicator score guideline_15Jun2018</w:t>
      </w:r>
    </w:fldSimple>
    <w:r w:rsidR="004E6ABD">
      <w:tab/>
    </w:r>
    <w:sdt>
      <w:sdtPr>
        <w:id w:val="1462682752"/>
        <w:docPartObj>
          <w:docPartGallery w:val="Page Numbers (Bottom of Page)"/>
          <w:docPartUnique/>
        </w:docPartObj>
      </w:sdtPr>
      <w:sdtEndPr/>
      <w:sdtContent>
        <w:sdt>
          <w:sdtPr>
            <w:id w:val="860082579"/>
            <w:docPartObj>
              <w:docPartGallery w:val="Page Numbers (Top of Page)"/>
              <w:docPartUnique/>
            </w:docPartObj>
          </w:sdtPr>
          <w:sdtEndPr/>
          <w:sdtContent>
            <w:r w:rsidR="00C314EB">
              <w:tab/>
            </w:r>
            <w:r w:rsidR="00C314EB">
              <w:tab/>
            </w:r>
            <w:r w:rsidR="00C314EB">
              <w:tab/>
            </w:r>
            <w:r w:rsidR="00C314EB">
              <w:tab/>
            </w:r>
            <w:r w:rsidR="00C314EB">
              <w:tab/>
            </w:r>
            <w:r w:rsidR="004E6ABD">
              <w:t xml:space="preserve">Page </w:t>
            </w:r>
            <w:r w:rsidR="004E6ABD">
              <w:rPr>
                <w:bCs/>
                <w:sz w:val="24"/>
                <w:szCs w:val="24"/>
              </w:rPr>
              <w:fldChar w:fldCharType="begin"/>
            </w:r>
            <w:r w:rsidR="004E6ABD">
              <w:rPr>
                <w:bCs/>
              </w:rPr>
              <w:instrText xml:space="preserve"> PAGE </w:instrText>
            </w:r>
            <w:r w:rsidR="004E6ABD">
              <w:rPr>
                <w:bCs/>
                <w:sz w:val="24"/>
                <w:szCs w:val="24"/>
              </w:rPr>
              <w:fldChar w:fldCharType="separate"/>
            </w:r>
            <w:r w:rsidR="009B681E">
              <w:rPr>
                <w:bCs/>
                <w:noProof/>
              </w:rPr>
              <w:t>3</w:t>
            </w:r>
            <w:r w:rsidR="004E6ABD">
              <w:rPr>
                <w:bCs/>
                <w:sz w:val="24"/>
                <w:szCs w:val="24"/>
              </w:rPr>
              <w:fldChar w:fldCharType="end"/>
            </w:r>
            <w:r w:rsidR="004E6ABD">
              <w:t xml:space="preserve"> of </w:t>
            </w:r>
            <w:r w:rsidR="004E6ABD">
              <w:rPr>
                <w:bCs/>
                <w:sz w:val="24"/>
                <w:szCs w:val="24"/>
              </w:rPr>
              <w:fldChar w:fldCharType="begin"/>
            </w:r>
            <w:r w:rsidR="004E6ABD">
              <w:rPr>
                <w:bCs/>
              </w:rPr>
              <w:instrText xml:space="preserve"> NUMPAGES  </w:instrText>
            </w:r>
            <w:r w:rsidR="004E6ABD">
              <w:rPr>
                <w:bCs/>
                <w:sz w:val="24"/>
                <w:szCs w:val="24"/>
              </w:rPr>
              <w:fldChar w:fldCharType="separate"/>
            </w:r>
            <w:r w:rsidR="009B681E">
              <w:rPr>
                <w:bCs/>
                <w:noProof/>
              </w:rPr>
              <w:t>3</w:t>
            </w:r>
            <w:r w:rsidR="004E6ABD">
              <w:rPr>
                <w:bCs/>
                <w:sz w:val="24"/>
                <w:szCs w:val="24"/>
              </w:rPr>
              <w:fldChar w:fldCharType="end"/>
            </w:r>
          </w:sdtContent>
        </w:sdt>
      </w:sdtContent>
    </w:sdt>
  </w:p>
  <w:p w:rsidR="004E6ABD" w:rsidRPr="00BA647E" w:rsidRDefault="00BA647E" w:rsidP="00BA647E">
    <w:pPr>
      <w:pStyle w:val="Footer"/>
      <w:spacing w:before="120"/>
      <w:rPr>
        <w:sz w:val="20"/>
      </w:rPr>
    </w:pPr>
    <w:r w:rsidRPr="00BA647E">
      <w:rPr>
        <w:sz w:val="20"/>
      </w:rPr>
      <w:t>© Ministry of Health, NZ</w:t>
    </w:r>
    <w:r w:rsidR="000406AD">
      <w:rPr>
        <w:sz w:val="20"/>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6AD" w:rsidRDefault="000406AD" w:rsidP="00D318E2">
      <w:r>
        <w:separator/>
      </w:r>
    </w:p>
  </w:footnote>
  <w:footnote w:type="continuationSeparator" w:id="0">
    <w:p w:rsidR="000406AD" w:rsidRDefault="000406AD" w:rsidP="00D31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ABD" w:rsidRPr="004E6ABD" w:rsidRDefault="00BA647E" w:rsidP="00B31053">
    <w:pPr>
      <w:pStyle w:val="HeaderText"/>
      <w:jc w:val="left"/>
    </w:pPr>
    <w:r>
      <w:t>CCDM Programme</w:t>
    </w:r>
    <w:r w:rsidR="005B7D5B">
      <w:tab/>
    </w:r>
    <w:r w:rsidR="005B7D5B">
      <w:tab/>
    </w:r>
    <w:r w:rsidR="00D7644B">
      <w:tab/>
    </w:r>
    <w:r w:rsidR="00C314EB">
      <w:tab/>
    </w:r>
    <w:r w:rsidR="000406AD">
      <w:tab/>
    </w:r>
    <w:r w:rsidR="000406AD">
      <w:tab/>
    </w:r>
    <w:r w:rsidR="00B31053">
      <w:t xml:space="preserve">            </w:t>
    </w:r>
    <w:r w:rsidR="000406AD">
      <w:t>Variance response m</w:t>
    </w:r>
    <w:r w:rsidR="00D7644B">
      <w:t>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C130A"/>
    <w:multiLevelType w:val="hybridMultilevel"/>
    <w:tmpl w:val="21F89AB8"/>
    <w:lvl w:ilvl="0" w:tplc="6CF20B54">
      <w:start w:val="1"/>
      <w:numFmt w:val="bullet"/>
      <w:pStyle w:val="Bullet2"/>
      <w:lvlText w:val=""/>
      <w:lvlJc w:val="left"/>
      <w:pPr>
        <w:ind w:left="1004" w:hanging="360"/>
      </w:pPr>
      <w:rPr>
        <w:rFonts w:ascii="Symbol" w:hAnsi="Symbol" w:hint="default"/>
        <w:sz w:val="22"/>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 w15:restartNumberingAfterBreak="0">
    <w:nsid w:val="566F1B41"/>
    <w:multiLevelType w:val="hybridMultilevel"/>
    <w:tmpl w:val="67ACA06E"/>
    <w:lvl w:ilvl="0" w:tplc="053AE7BA">
      <w:start w:val="1"/>
      <w:numFmt w:val="decimal"/>
      <w:pStyle w:val="Numbering"/>
      <w:lvlText w:val="%1."/>
      <w:lvlJc w:val="left"/>
      <w:pPr>
        <w:ind w:left="720" w:hanging="360"/>
      </w:pPr>
      <w:rPr>
        <w:rFonts w:ascii="Segoe UI" w:hAnsi="Segoe UI" w:cs="Segoe UI" w:hint="default"/>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5B687C1F"/>
    <w:multiLevelType w:val="hybridMultilevel"/>
    <w:tmpl w:val="D79ABC84"/>
    <w:lvl w:ilvl="0" w:tplc="87E4A024">
      <w:start w:val="1"/>
      <w:numFmt w:val="bullet"/>
      <w:lvlText w:val=""/>
      <w:lvlJc w:val="left"/>
      <w:pPr>
        <w:ind w:left="720" w:hanging="360"/>
      </w:pPr>
      <w:rPr>
        <w:rFonts w:ascii="Symbol" w:hAnsi="Symbol" w:hint="default"/>
      </w:rPr>
    </w:lvl>
    <w:lvl w:ilvl="1" w:tplc="144C067A">
      <w:start w:val="1"/>
      <w:numFmt w:val="bullet"/>
      <w:lvlText w:val="o"/>
      <w:lvlJc w:val="left"/>
      <w:pPr>
        <w:ind w:left="1440" w:hanging="360"/>
      </w:pPr>
      <w:rPr>
        <w:rFonts w:ascii="Courier New" w:hAnsi="Courier New" w:cs="Courier New" w:hint="default"/>
      </w:rPr>
    </w:lvl>
    <w:lvl w:ilvl="2" w:tplc="DDAE196C">
      <w:start w:val="1"/>
      <w:numFmt w:val="bullet"/>
      <w:lvlText w:val=""/>
      <w:lvlJc w:val="left"/>
      <w:pPr>
        <w:ind w:left="2160" w:hanging="360"/>
      </w:pPr>
      <w:rPr>
        <w:rFonts w:ascii="Wingdings" w:hAnsi="Wingdings" w:hint="default"/>
      </w:rPr>
    </w:lvl>
    <w:lvl w:ilvl="3" w:tplc="9132B3C4" w:tentative="1">
      <w:start w:val="1"/>
      <w:numFmt w:val="bullet"/>
      <w:lvlText w:val=""/>
      <w:lvlJc w:val="left"/>
      <w:pPr>
        <w:ind w:left="2880" w:hanging="360"/>
      </w:pPr>
      <w:rPr>
        <w:rFonts w:ascii="Symbol" w:hAnsi="Symbol" w:hint="default"/>
      </w:rPr>
    </w:lvl>
    <w:lvl w:ilvl="4" w:tplc="E89A05F6" w:tentative="1">
      <w:start w:val="1"/>
      <w:numFmt w:val="bullet"/>
      <w:lvlText w:val="o"/>
      <w:lvlJc w:val="left"/>
      <w:pPr>
        <w:ind w:left="3600" w:hanging="360"/>
      </w:pPr>
      <w:rPr>
        <w:rFonts w:ascii="Courier New" w:hAnsi="Courier New" w:cs="Courier New" w:hint="default"/>
      </w:rPr>
    </w:lvl>
    <w:lvl w:ilvl="5" w:tplc="F2A8C60A" w:tentative="1">
      <w:start w:val="1"/>
      <w:numFmt w:val="bullet"/>
      <w:lvlText w:val=""/>
      <w:lvlJc w:val="left"/>
      <w:pPr>
        <w:ind w:left="4320" w:hanging="360"/>
      </w:pPr>
      <w:rPr>
        <w:rFonts w:ascii="Wingdings" w:hAnsi="Wingdings" w:hint="default"/>
      </w:rPr>
    </w:lvl>
    <w:lvl w:ilvl="6" w:tplc="15B297C6" w:tentative="1">
      <w:start w:val="1"/>
      <w:numFmt w:val="bullet"/>
      <w:lvlText w:val=""/>
      <w:lvlJc w:val="left"/>
      <w:pPr>
        <w:ind w:left="5040" w:hanging="360"/>
      </w:pPr>
      <w:rPr>
        <w:rFonts w:ascii="Symbol" w:hAnsi="Symbol" w:hint="default"/>
      </w:rPr>
    </w:lvl>
    <w:lvl w:ilvl="7" w:tplc="22383C5E" w:tentative="1">
      <w:start w:val="1"/>
      <w:numFmt w:val="bullet"/>
      <w:lvlText w:val="o"/>
      <w:lvlJc w:val="left"/>
      <w:pPr>
        <w:ind w:left="5760" w:hanging="360"/>
      </w:pPr>
      <w:rPr>
        <w:rFonts w:ascii="Courier New" w:hAnsi="Courier New" w:cs="Courier New" w:hint="default"/>
      </w:rPr>
    </w:lvl>
    <w:lvl w:ilvl="8" w:tplc="5D90ECD6" w:tentative="1">
      <w:start w:val="1"/>
      <w:numFmt w:val="bullet"/>
      <w:lvlText w:val=""/>
      <w:lvlJc w:val="left"/>
      <w:pPr>
        <w:ind w:left="6480" w:hanging="360"/>
      </w:pPr>
      <w:rPr>
        <w:rFonts w:ascii="Wingdings" w:hAnsi="Wingdings" w:hint="default"/>
      </w:rPr>
    </w:lvl>
  </w:abstractNum>
  <w:abstractNum w:abstractNumId="3" w15:restartNumberingAfterBreak="0">
    <w:nsid w:val="62EA70EF"/>
    <w:multiLevelType w:val="hybridMultilevel"/>
    <w:tmpl w:val="6F2C878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73DB68CD"/>
    <w:multiLevelType w:val="hybridMultilevel"/>
    <w:tmpl w:val="12B29D44"/>
    <w:lvl w:ilvl="0" w:tplc="B802CEA2">
      <w:start w:val="1"/>
      <w:numFmt w:val="bullet"/>
      <w:pStyle w:val="Bullets"/>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2"/>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6AD"/>
    <w:rsid w:val="000406AD"/>
    <w:rsid w:val="002A4BA0"/>
    <w:rsid w:val="004E6ABD"/>
    <w:rsid w:val="004F77F0"/>
    <w:rsid w:val="00501245"/>
    <w:rsid w:val="00550341"/>
    <w:rsid w:val="005824D3"/>
    <w:rsid w:val="005B7D5B"/>
    <w:rsid w:val="00727F68"/>
    <w:rsid w:val="007D4966"/>
    <w:rsid w:val="008036B5"/>
    <w:rsid w:val="00803DF8"/>
    <w:rsid w:val="00832B56"/>
    <w:rsid w:val="00837FEE"/>
    <w:rsid w:val="00893A00"/>
    <w:rsid w:val="009362E1"/>
    <w:rsid w:val="0094337F"/>
    <w:rsid w:val="009B681E"/>
    <w:rsid w:val="009C2BDB"/>
    <w:rsid w:val="00A00945"/>
    <w:rsid w:val="00AB67D2"/>
    <w:rsid w:val="00B255F0"/>
    <w:rsid w:val="00B31053"/>
    <w:rsid w:val="00B3480F"/>
    <w:rsid w:val="00BA647E"/>
    <w:rsid w:val="00BC2BDB"/>
    <w:rsid w:val="00BD6A68"/>
    <w:rsid w:val="00C22B82"/>
    <w:rsid w:val="00C314EB"/>
    <w:rsid w:val="00D318E2"/>
    <w:rsid w:val="00D7644B"/>
    <w:rsid w:val="00E230DC"/>
    <w:rsid w:val="00F24B55"/>
    <w:rsid w:val="00F405C5"/>
    <w:rsid w:val="00FD4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E89AC0B-EEFF-4817-9BD1-DB371DD0D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4EB"/>
    <w:pPr>
      <w:spacing w:after="120" w:line="276" w:lineRule="auto"/>
      <w:jc w:val="both"/>
    </w:pPr>
    <w:rPr>
      <w:rFonts w:cs="Segoe UI"/>
      <w:sz w:val="22"/>
      <w:szCs w:val="22"/>
    </w:rPr>
  </w:style>
  <w:style w:type="paragraph" w:styleId="Heading1">
    <w:name w:val="heading 1"/>
    <w:basedOn w:val="Normal"/>
    <w:next w:val="Normal"/>
    <w:link w:val="Heading1Char"/>
    <w:uiPriority w:val="9"/>
    <w:qFormat/>
    <w:rsid w:val="00BC2BDB"/>
    <w:pPr>
      <w:keepNext/>
      <w:keepLines/>
      <w:spacing w:before="240" w:line="240" w:lineRule="auto"/>
      <w:outlineLvl w:val="0"/>
    </w:pPr>
    <w:rPr>
      <w:rFonts w:eastAsiaTheme="majorEastAsia" w:cs="Calibri"/>
      <w:bCs/>
      <w:color w:val="9B0000"/>
      <w:sz w:val="44"/>
      <w:szCs w:val="32"/>
    </w:rPr>
  </w:style>
  <w:style w:type="paragraph" w:styleId="Heading2">
    <w:name w:val="heading 2"/>
    <w:basedOn w:val="Normal"/>
    <w:next w:val="Normal"/>
    <w:link w:val="Heading2Char"/>
    <w:uiPriority w:val="9"/>
    <w:qFormat/>
    <w:rsid w:val="00BC2BDB"/>
    <w:pPr>
      <w:spacing w:before="240" w:after="60" w:line="240" w:lineRule="auto"/>
      <w:outlineLvl w:val="1"/>
    </w:pPr>
    <w:rPr>
      <w:color w:val="9B0000"/>
      <w:sz w:val="28"/>
      <w:szCs w:val="28"/>
    </w:rPr>
  </w:style>
  <w:style w:type="paragraph" w:styleId="Heading3">
    <w:name w:val="heading 3"/>
    <w:basedOn w:val="Normal"/>
    <w:next w:val="Normal"/>
    <w:link w:val="Heading3Char"/>
    <w:uiPriority w:val="9"/>
    <w:qFormat/>
    <w:rsid w:val="00BC2BDB"/>
    <w:pPr>
      <w:spacing w:before="120" w:after="60"/>
      <w:outlineLvl w:val="2"/>
    </w:pPr>
    <w:rPr>
      <w:i/>
      <w:color w:val="9B0000"/>
      <w:sz w:val="24"/>
      <w:szCs w:val="28"/>
    </w:rPr>
  </w:style>
  <w:style w:type="paragraph" w:styleId="Heading4">
    <w:name w:val="heading 4"/>
    <w:basedOn w:val="Normal"/>
    <w:next w:val="Normal"/>
    <w:link w:val="Heading4Char"/>
    <w:uiPriority w:val="9"/>
    <w:qFormat/>
    <w:rsid w:val="00E230DC"/>
    <w:pPr>
      <w:ind w:left="720"/>
      <w:outlineLvl w:val="3"/>
    </w:pPr>
    <w:rPr>
      <w:i/>
      <w:sz w:val="24"/>
      <w:szCs w:val="20"/>
    </w:rPr>
  </w:style>
  <w:style w:type="paragraph" w:styleId="Heading5">
    <w:name w:val="heading 5"/>
    <w:basedOn w:val="Normal"/>
    <w:next w:val="Normal"/>
    <w:link w:val="Heading5Char"/>
    <w:uiPriority w:val="9"/>
    <w:qFormat/>
    <w:rsid w:val="00E230DC"/>
    <w:pPr>
      <w:keepNext/>
      <w:keepLines/>
      <w:spacing w:before="200" w:after="0"/>
      <w:ind w:left="709"/>
      <w:outlineLvl w:val="4"/>
    </w:pPr>
    <w:rPr>
      <w:rFonts w:eastAsia="Times New Roman"/>
      <w:sz w:val="20"/>
      <w:szCs w:val="20"/>
      <w:u w:val="single"/>
    </w:rPr>
  </w:style>
  <w:style w:type="paragraph" w:styleId="Heading7">
    <w:name w:val="heading 7"/>
    <w:basedOn w:val="Normal"/>
    <w:next w:val="Normal"/>
    <w:link w:val="Heading7Char"/>
    <w:uiPriority w:val="9"/>
    <w:semiHidden/>
    <w:unhideWhenUsed/>
    <w:qFormat/>
    <w:rsid w:val="00E230DC"/>
    <w:pPr>
      <w:keepNext/>
      <w:keepLines/>
      <w:spacing w:before="200" w:after="0"/>
      <w:outlineLvl w:val="6"/>
    </w:pPr>
    <w:rPr>
      <w:rFonts w:eastAsia="Times New Roman" w:cs="Times New Roman"/>
      <w:i/>
      <w:iCs/>
      <w:color w:val="404040"/>
      <w:sz w:val="20"/>
      <w:szCs w:val="20"/>
    </w:rPr>
  </w:style>
  <w:style w:type="paragraph" w:styleId="Heading8">
    <w:name w:val="heading 8"/>
    <w:basedOn w:val="Normal"/>
    <w:next w:val="Normal"/>
    <w:link w:val="Heading8Char"/>
    <w:uiPriority w:val="9"/>
    <w:semiHidden/>
    <w:unhideWhenUsed/>
    <w:qFormat/>
    <w:rsid w:val="00E230DC"/>
    <w:pPr>
      <w:keepNext/>
      <w:keepLines/>
      <w:spacing w:before="200" w:after="0"/>
      <w:outlineLvl w:val="7"/>
    </w:pPr>
    <w:rPr>
      <w:rFonts w:eastAsia="Times New Roman" w:cs="Times New Roman"/>
      <w:color w:val="404040"/>
      <w:sz w:val="20"/>
      <w:szCs w:val="20"/>
    </w:rPr>
  </w:style>
  <w:style w:type="paragraph" w:styleId="Heading9">
    <w:name w:val="heading 9"/>
    <w:basedOn w:val="Normal"/>
    <w:next w:val="Normal"/>
    <w:link w:val="Heading9Char"/>
    <w:uiPriority w:val="9"/>
    <w:semiHidden/>
    <w:unhideWhenUsed/>
    <w:qFormat/>
    <w:rsid w:val="00E230DC"/>
    <w:pPr>
      <w:keepNext/>
      <w:keepLines/>
      <w:spacing w:before="200" w:after="0"/>
      <w:outlineLvl w:val="8"/>
    </w:pPr>
    <w:rPr>
      <w:rFonts w:eastAsia="Times New Roman"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8E2"/>
    <w:pPr>
      <w:tabs>
        <w:tab w:val="center" w:pos="4513"/>
        <w:tab w:val="right" w:pos="9026"/>
      </w:tabs>
    </w:pPr>
  </w:style>
  <w:style w:type="character" w:customStyle="1" w:styleId="HeaderChar">
    <w:name w:val="Header Char"/>
    <w:basedOn w:val="DefaultParagraphFont"/>
    <w:link w:val="Header"/>
    <w:uiPriority w:val="99"/>
    <w:rsid w:val="00D318E2"/>
  </w:style>
  <w:style w:type="paragraph" w:styleId="Footer">
    <w:name w:val="footer"/>
    <w:basedOn w:val="Normal"/>
    <w:link w:val="FooterChar"/>
    <w:uiPriority w:val="99"/>
    <w:unhideWhenUsed/>
    <w:rsid w:val="00D318E2"/>
    <w:pPr>
      <w:tabs>
        <w:tab w:val="center" w:pos="4513"/>
        <w:tab w:val="right" w:pos="9026"/>
      </w:tabs>
    </w:pPr>
  </w:style>
  <w:style w:type="character" w:customStyle="1" w:styleId="FooterChar">
    <w:name w:val="Footer Char"/>
    <w:basedOn w:val="DefaultParagraphFont"/>
    <w:link w:val="Footer"/>
    <w:uiPriority w:val="99"/>
    <w:rsid w:val="00D318E2"/>
  </w:style>
  <w:style w:type="character" w:customStyle="1" w:styleId="Heading1Char">
    <w:name w:val="Heading 1 Char"/>
    <w:basedOn w:val="DefaultParagraphFont"/>
    <w:link w:val="Heading1"/>
    <w:uiPriority w:val="9"/>
    <w:rsid w:val="00BC2BDB"/>
    <w:rPr>
      <w:rFonts w:eastAsiaTheme="majorEastAsia" w:cs="Calibri"/>
      <w:bCs/>
      <w:color w:val="9B0000"/>
      <w:sz w:val="44"/>
      <w:szCs w:val="32"/>
    </w:rPr>
  </w:style>
  <w:style w:type="paragraph" w:customStyle="1" w:styleId="Bullets">
    <w:name w:val="Bullets"/>
    <w:basedOn w:val="ListParagraph"/>
    <w:link w:val="BulletsChar"/>
    <w:qFormat/>
    <w:rsid w:val="00C314EB"/>
    <w:pPr>
      <w:numPr>
        <w:numId w:val="5"/>
      </w:numPr>
      <w:ind w:left="641" w:hanging="357"/>
    </w:pPr>
    <w:rPr>
      <w:rFonts w:asciiTheme="minorHAnsi" w:hAnsiTheme="minorHAnsi"/>
    </w:rPr>
  </w:style>
  <w:style w:type="character" w:customStyle="1" w:styleId="BulletsChar">
    <w:name w:val="Bullets Char"/>
    <w:basedOn w:val="DefaultParagraphFont"/>
    <w:link w:val="Bullets"/>
    <w:rsid w:val="00C314EB"/>
    <w:rPr>
      <w:rFonts w:asciiTheme="minorHAnsi" w:hAnsiTheme="minorHAnsi" w:cs="Segoe UI"/>
      <w:sz w:val="22"/>
      <w:szCs w:val="22"/>
    </w:rPr>
  </w:style>
  <w:style w:type="paragraph" w:styleId="ListParagraph">
    <w:name w:val="List Paragraph"/>
    <w:basedOn w:val="Normal"/>
    <w:uiPriority w:val="34"/>
    <w:qFormat/>
    <w:rsid w:val="00E230DC"/>
    <w:pPr>
      <w:ind w:left="720"/>
      <w:contextualSpacing/>
    </w:pPr>
  </w:style>
  <w:style w:type="paragraph" w:customStyle="1" w:styleId="ItemHeading">
    <w:name w:val="Item Heading"/>
    <w:basedOn w:val="Normal"/>
    <w:qFormat/>
    <w:rsid w:val="00BC2BDB"/>
    <w:rPr>
      <w:b/>
      <w:color w:val="E32723"/>
    </w:rPr>
  </w:style>
  <w:style w:type="paragraph" w:customStyle="1" w:styleId="HeaderText">
    <w:name w:val="Header Text"/>
    <w:basedOn w:val="Normal"/>
    <w:qFormat/>
    <w:rsid w:val="004E6ABD"/>
    <w:rPr>
      <w:b/>
      <w:sz w:val="20"/>
    </w:rPr>
  </w:style>
  <w:style w:type="paragraph" w:customStyle="1" w:styleId="FooterText">
    <w:name w:val="Footer Text"/>
    <w:basedOn w:val="HeaderText"/>
    <w:qFormat/>
    <w:rsid w:val="004E6ABD"/>
    <w:pPr>
      <w:spacing w:after="0"/>
    </w:pPr>
    <w:rPr>
      <w:color w:val="FFFFFF" w:themeColor="background1"/>
    </w:rPr>
  </w:style>
  <w:style w:type="paragraph" w:customStyle="1" w:styleId="InsideTablesHeading">
    <w:name w:val="Inside Tables Heading"/>
    <w:basedOn w:val="Normal"/>
    <w:qFormat/>
    <w:rsid w:val="00E230DC"/>
    <w:pPr>
      <w:tabs>
        <w:tab w:val="left" w:pos="2160"/>
      </w:tabs>
      <w:spacing w:before="60" w:after="60"/>
      <w:ind w:left="2160" w:hanging="2160"/>
    </w:pPr>
    <w:rPr>
      <w:b/>
      <w:bCs/>
    </w:rPr>
  </w:style>
  <w:style w:type="paragraph" w:customStyle="1" w:styleId="Numbering">
    <w:name w:val="Numbering"/>
    <w:basedOn w:val="ListParagraph"/>
    <w:qFormat/>
    <w:rsid w:val="00E230DC"/>
    <w:pPr>
      <w:numPr>
        <w:numId w:val="4"/>
      </w:numPr>
    </w:pPr>
  </w:style>
  <w:style w:type="character" w:customStyle="1" w:styleId="Heading2Char">
    <w:name w:val="Heading 2 Char"/>
    <w:basedOn w:val="DefaultParagraphFont"/>
    <w:link w:val="Heading2"/>
    <w:uiPriority w:val="9"/>
    <w:rsid w:val="00BC2BDB"/>
    <w:rPr>
      <w:rFonts w:cs="Segoe UI"/>
      <w:color w:val="9B0000"/>
      <w:sz w:val="28"/>
      <w:szCs w:val="28"/>
    </w:rPr>
  </w:style>
  <w:style w:type="character" w:customStyle="1" w:styleId="Heading3Char">
    <w:name w:val="Heading 3 Char"/>
    <w:basedOn w:val="DefaultParagraphFont"/>
    <w:link w:val="Heading3"/>
    <w:uiPriority w:val="9"/>
    <w:rsid w:val="00BC2BDB"/>
    <w:rPr>
      <w:rFonts w:cs="Segoe UI"/>
      <w:i/>
      <w:color w:val="9B0000"/>
      <w:sz w:val="24"/>
      <w:szCs w:val="28"/>
    </w:rPr>
  </w:style>
  <w:style w:type="character" w:customStyle="1" w:styleId="Heading4Char">
    <w:name w:val="Heading 4 Char"/>
    <w:basedOn w:val="DefaultParagraphFont"/>
    <w:link w:val="Heading4"/>
    <w:uiPriority w:val="9"/>
    <w:rsid w:val="00E230DC"/>
    <w:rPr>
      <w:rFonts w:cs="Segoe UI"/>
      <w:i/>
      <w:sz w:val="24"/>
    </w:rPr>
  </w:style>
  <w:style w:type="character" w:customStyle="1" w:styleId="Heading5Char">
    <w:name w:val="Heading 5 Char"/>
    <w:basedOn w:val="DefaultParagraphFont"/>
    <w:link w:val="Heading5"/>
    <w:uiPriority w:val="9"/>
    <w:rsid w:val="00E230DC"/>
    <w:rPr>
      <w:rFonts w:eastAsia="Times New Roman" w:cs="Segoe UI"/>
      <w:u w:val="single"/>
    </w:rPr>
  </w:style>
  <w:style w:type="character" w:customStyle="1" w:styleId="Heading7Char">
    <w:name w:val="Heading 7 Char"/>
    <w:basedOn w:val="DefaultParagraphFont"/>
    <w:link w:val="Heading7"/>
    <w:uiPriority w:val="9"/>
    <w:semiHidden/>
    <w:rsid w:val="00E230DC"/>
    <w:rPr>
      <w:rFonts w:eastAsia="Times New Roman"/>
      <w:i/>
      <w:iCs/>
      <w:color w:val="404040"/>
    </w:rPr>
  </w:style>
  <w:style w:type="character" w:customStyle="1" w:styleId="Heading8Char">
    <w:name w:val="Heading 8 Char"/>
    <w:basedOn w:val="DefaultParagraphFont"/>
    <w:link w:val="Heading8"/>
    <w:uiPriority w:val="9"/>
    <w:semiHidden/>
    <w:rsid w:val="00E230DC"/>
    <w:rPr>
      <w:rFonts w:eastAsia="Times New Roman"/>
      <w:color w:val="404040"/>
    </w:rPr>
  </w:style>
  <w:style w:type="character" w:customStyle="1" w:styleId="Heading9Char">
    <w:name w:val="Heading 9 Char"/>
    <w:basedOn w:val="DefaultParagraphFont"/>
    <w:link w:val="Heading9"/>
    <w:uiPriority w:val="9"/>
    <w:semiHidden/>
    <w:rsid w:val="00E230DC"/>
    <w:rPr>
      <w:rFonts w:eastAsia="Times New Roman"/>
      <w:i/>
      <w:iCs/>
      <w:color w:val="404040"/>
    </w:rPr>
  </w:style>
  <w:style w:type="paragraph" w:styleId="Caption">
    <w:name w:val="caption"/>
    <w:basedOn w:val="Normal"/>
    <w:next w:val="Normal"/>
    <w:uiPriority w:val="35"/>
    <w:semiHidden/>
    <w:unhideWhenUsed/>
    <w:qFormat/>
    <w:rsid w:val="00E230DC"/>
    <w:pPr>
      <w:spacing w:after="200" w:line="240" w:lineRule="auto"/>
    </w:pPr>
    <w:rPr>
      <w:b/>
      <w:bCs/>
      <w:color w:val="4F81BD"/>
      <w:sz w:val="18"/>
      <w:szCs w:val="18"/>
    </w:rPr>
  </w:style>
  <w:style w:type="paragraph" w:styleId="Title">
    <w:name w:val="Title"/>
    <w:basedOn w:val="Normal"/>
    <w:next w:val="Normal"/>
    <w:link w:val="TitleChar"/>
    <w:uiPriority w:val="99"/>
    <w:qFormat/>
    <w:rsid w:val="009362E1"/>
    <w:pPr>
      <w:spacing w:before="720" w:after="240"/>
    </w:pPr>
    <w:rPr>
      <w:rFonts w:cs="Calibri"/>
      <w:color w:val="FFFFFF" w:themeColor="background1"/>
      <w:sz w:val="56"/>
      <w:szCs w:val="72"/>
    </w:rPr>
  </w:style>
  <w:style w:type="character" w:customStyle="1" w:styleId="TitleChar">
    <w:name w:val="Title Char"/>
    <w:basedOn w:val="DefaultParagraphFont"/>
    <w:link w:val="Title"/>
    <w:uiPriority w:val="99"/>
    <w:rsid w:val="009362E1"/>
    <w:rPr>
      <w:rFonts w:cs="Calibri"/>
      <w:color w:val="FFFFFF" w:themeColor="background1"/>
      <w:sz w:val="56"/>
      <w:szCs w:val="72"/>
    </w:rPr>
  </w:style>
  <w:style w:type="paragraph" w:styleId="Subtitle">
    <w:name w:val="Subtitle"/>
    <w:basedOn w:val="Normal"/>
    <w:next w:val="Normal"/>
    <w:link w:val="SubtitleChar"/>
    <w:uiPriority w:val="11"/>
    <w:qFormat/>
    <w:rsid w:val="00B3480F"/>
    <w:rPr>
      <w:b/>
      <w:color w:val="E32723"/>
      <w:sz w:val="32"/>
      <w:szCs w:val="20"/>
    </w:rPr>
  </w:style>
  <w:style w:type="character" w:customStyle="1" w:styleId="SubtitleChar">
    <w:name w:val="Subtitle Char"/>
    <w:basedOn w:val="DefaultParagraphFont"/>
    <w:link w:val="Subtitle"/>
    <w:uiPriority w:val="11"/>
    <w:rsid w:val="00B3480F"/>
    <w:rPr>
      <w:rFonts w:cs="Segoe UI"/>
      <w:b/>
      <w:color w:val="E32723"/>
      <w:sz w:val="32"/>
    </w:rPr>
  </w:style>
  <w:style w:type="character" w:styleId="Strong">
    <w:name w:val="Strong"/>
    <w:basedOn w:val="DefaultParagraphFont"/>
    <w:uiPriority w:val="22"/>
    <w:qFormat/>
    <w:rsid w:val="00E230DC"/>
    <w:rPr>
      <w:b/>
      <w:bCs/>
    </w:rPr>
  </w:style>
  <w:style w:type="character" w:styleId="Emphasis">
    <w:name w:val="Emphasis"/>
    <w:uiPriority w:val="20"/>
    <w:qFormat/>
    <w:rsid w:val="00E230DC"/>
    <w:rPr>
      <w:rFonts w:ascii="Calibri" w:hAnsi="Calibri" w:cs="Segoe UI"/>
      <w:color w:val="000000"/>
      <w:spacing w:val="30"/>
    </w:rPr>
  </w:style>
  <w:style w:type="paragraph" w:styleId="NoSpacing">
    <w:name w:val="No Spacing"/>
    <w:basedOn w:val="Normal"/>
    <w:link w:val="NoSpacingChar"/>
    <w:uiPriority w:val="99"/>
    <w:qFormat/>
    <w:rsid w:val="00E230DC"/>
    <w:pPr>
      <w:spacing w:after="0" w:line="240" w:lineRule="auto"/>
    </w:pPr>
    <w:rPr>
      <w:rFonts w:cs="Times New Roman"/>
      <w:sz w:val="20"/>
      <w:szCs w:val="20"/>
    </w:rPr>
  </w:style>
  <w:style w:type="character" w:customStyle="1" w:styleId="NoSpacingChar">
    <w:name w:val="No Spacing Char"/>
    <w:link w:val="NoSpacing"/>
    <w:uiPriority w:val="99"/>
    <w:rsid w:val="00E230DC"/>
  </w:style>
  <w:style w:type="paragraph" w:styleId="Quote">
    <w:name w:val="Quote"/>
    <w:basedOn w:val="Normal"/>
    <w:next w:val="Normal"/>
    <w:link w:val="QuoteChar"/>
    <w:uiPriority w:val="29"/>
    <w:qFormat/>
    <w:rsid w:val="00E230DC"/>
    <w:rPr>
      <w:i/>
      <w:iCs/>
      <w:color w:val="000000"/>
      <w:sz w:val="20"/>
      <w:szCs w:val="20"/>
    </w:rPr>
  </w:style>
  <w:style w:type="character" w:customStyle="1" w:styleId="QuoteChar">
    <w:name w:val="Quote Char"/>
    <w:basedOn w:val="DefaultParagraphFont"/>
    <w:link w:val="Quote"/>
    <w:uiPriority w:val="29"/>
    <w:rsid w:val="00E230DC"/>
    <w:rPr>
      <w:rFonts w:cs="Segoe UI"/>
      <w:i/>
      <w:iCs/>
      <w:color w:val="000000"/>
    </w:rPr>
  </w:style>
  <w:style w:type="character" w:styleId="SubtleEmphasis">
    <w:name w:val="Subtle Emphasis"/>
    <w:basedOn w:val="DefaultParagraphFont"/>
    <w:uiPriority w:val="19"/>
    <w:qFormat/>
    <w:rsid w:val="00E230DC"/>
    <w:rPr>
      <w:rFonts w:ascii="Calibri" w:hAnsi="Calibri"/>
      <w:i/>
      <w:iCs/>
      <w:color w:val="808080"/>
    </w:rPr>
  </w:style>
  <w:style w:type="paragraph" w:styleId="TOCHeading">
    <w:name w:val="TOC Heading"/>
    <w:basedOn w:val="Heading1"/>
    <w:next w:val="Normal"/>
    <w:uiPriority w:val="39"/>
    <w:semiHidden/>
    <w:unhideWhenUsed/>
    <w:qFormat/>
    <w:rsid w:val="00E230DC"/>
    <w:pPr>
      <w:spacing w:before="480" w:after="0"/>
      <w:outlineLvl w:val="9"/>
    </w:pPr>
    <w:rPr>
      <w:rFonts w:ascii="Cambria" w:eastAsia="Times New Roman" w:hAnsi="Cambria" w:cs="Times New Roman"/>
      <w:b/>
      <w:color w:val="365F91"/>
      <w:sz w:val="28"/>
      <w:szCs w:val="28"/>
    </w:rPr>
  </w:style>
  <w:style w:type="table" w:styleId="TableGrid">
    <w:name w:val="Table Grid"/>
    <w:basedOn w:val="TableNormal"/>
    <w:uiPriority w:val="59"/>
    <w:rsid w:val="00FD4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FD48AA"/>
    <w:rPr>
      <w:color w:val="754E4E" w:themeColor="accent6" w:themeShade="BF"/>
    </w:rPr>
    <w:tblPr>
      <w:tblStyleRowBandSize w:val="1"/>
      <w:tblStyleColBandSize w:val="1"/>
      <w:tblBorders>
        <w:top w:val="single" w:sz="8" w:space="0" w:color="9C6A6A" w:themeColor="accent6"/>
        <w:bottom w:val="single" w:sz="8" w:space="0" w:color="9C6A6A" w:themeColor="accent6"/>
      </w:tblBorders>
    </w:tblPr>
    <w:tblStylePr w:type="firstRow">
      <w:pPr>
        <w:spacing w:before="0" w:after="0" w:line="240" w:lineRule="auto"/>
      </w:pPr>
      <w:rPr>
        <w:b/>
        <w:bCs/>
      </w:rPr>
      <w:tblPr/>
      <w:tcPr>
        <w:tcBorders>
          <w:top w:val="single" w:sz="8" w:space="0" w:color="9C6A6A" w:themeColor="accent6"/>
          <w:left w:val="nil"/>
          <w:bottom w:val="single" w:sz="8" w:space="0" w:color="9C6A6A" w:themeColor="accent6"/>
          <w:right w:val="nil"/>
          <w:insideH w:val="nil"/>
          <w:insideV w:val="nil"/>
        </w:tcBorders>
      </w:tcPr>
    </w:tblStylePr>
    <w:tblStylePr w:type="lastRow">
      <w:pPr>
        <w:spacing w:before="0" w:after="0" w:line="240" w:lineRule="auto"/>
      </w:pPr>
      <w:rPr>
        <w:b/>
        <w:bCs/>
      </w:rPr>
      <w:tblPr/>
      <w:tcPr>
        <w:tcBorders>
          <w:top w:val="single" w:sz="8" w:space="0" w:color="9C6A6A" w:themeColor="accent6"/>
          <w:left w:val="nil"/>
          <w:bottom w:val="single" w:sz="8" w:space="0" w:color="9C6A6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ADA" w:themeFill="accent6" w:themeFillTint="3F"/>
      </w:tcPr>
    </w:tblStylePr>
    <w:tblStylePr w:type="band1Horz">
      <w:tblPr/>
      <w:tcPr>
        <w:tcBorders>
          <w:left w:val="nil"/>
          <w:right w:val="nil"/>
          <w:insideH w:val="nil"/>
          <w:insideV w:val="nil"/>
        </w:tcBorders>
        <w:shd w:val="clear" w:color="auto" w:fill="E6DADA" w:themeFill="accent6" w:themeFillTint="3F"/>
      </w:tcPr>
    </w:tblStylePr>
  </w:style>
  <w:style w:type="table" w:styleId="MediumShading1-Accent6">
    <w:name w:val="Medium Shading 1 Accent 6"/>
    <w:basedOn w:val="TableNormal"/>
    <w:uiPriority w:val="63"/>
    <w:rsid w:val="00FD48AA"/>
    <w:tblPr>
      <w:tblStyleRowBandSize w:val="1"/>
      <w:tblStyleColBandSize w:val="1"/>
      <w:tblBorders>
        <w:top w:val="single" w:sz="8" w:space="0" w:color="B48F8F" w:themeColor="accent6" w:themeTint="BF"/>
        <w:left w:val="single" w:sz="8" w:space="0" w:color="B48F8F" w:themeColor="accent6" w:themeTint="BF"/>
        <w:bottom w:val="single" w:sz="8" w:space="0" w:color="B48F8F" w:themeColor="accent6" w:themeTint="BF"/>
        <w:right w:val="single" w:sz="8" w:space="0" w:color="B48F8F" w:themeColor="accent6" w:themeTint="BF"/>
        <w:insideH w:val="single" w:sz="8" w:space="0" w:color="B48F8F" w:themeColor="accent6" w:themeTint="BF"/>
      </w:tblBorders>
    </w:tblPr>
    <w:tblStylePr w:type="firstRow">
      <w:pPr>
        <w:spacing w:before="0" w:after="0" w:line="240" w:lineRule="auto"/>
      </w:pPr>
      <w:rPr>
        <w:b/>
        <w:bCs/>
        <w:color w:val="FFFFFF" w:themeColor="background1"/>
      </w:rPr>
      <w:tblPr/>
      <w:tcPr>
        <w:tcBorders>
          <w:top w:val="single" w:sz="8" w:space="0" w:color="B48F8F" w:themeColor="accent6" w:themeTint="BF"/>
          <w:left w:val="single" w:sz="8" w:space="0" w:color="B48F8F" w:themeColor="accent6" w:themeTint="BF"/>
          <w:bottom w:val="single" w:sz="8" w:space="0" w:color="B48F8F" w:themeColor="accent6" w:themeTint="BF"/>
          <w:right w:val="single" w:sz="8" w:space="0" w:color="B48F8F" w:themeColor="accent6" w:themeTint="BF"/>
          <w:insideH w:val="nil"/>
          <w:insideV w:val="nil"/>
        </w:tcBorders>
        <w:shd w:val="clear" w:color="auto" w:fill="9C6A6A" w:themeFill="accent6"/>
      </w:tcPr>
    </w:tblStylePr>
    <w:tblStylePr w:type="lastRow">
      <w:pPr>
        <w:spacing w:before="0" w:after="0" w:line="240" w:lineRule="auto"/>
      </w:pPr>
      <w:rPr>
        <w:b/>
        <w:bCs/>
      </w:rPr>
      <w:tblPr/>
      <w:tcPr>
        <w:tcBorders>
          <w:top w:val="double" w:sz="6" w:space="0" w:color="B48F8F" w:themeColor="accent6" w:themeTint="BF"/>
          <w:left w:val="single" w:sz="8" w:space="0" w:color="B48F8F" w:themeColor="accent6" w:themeTint="BF"/>
          <w:bottom w:val="single" w:sz="8" w:space="0" w:color="B48F8F" w:themeColor="accent6" w:themeTint="BF"/>
          <w:right w:val="single" w:sz="8" w:space="0" w:color="B48F8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DADA" w:themeFill="accent6" w:themeFillTint="3F"/>
      </w:tcPr>
    </w:tblStylePr>
    <w:tblStylePr w:type="band1Horz">
      <w:tblPr/>
      <w:tcPr>
        <w:tcBorders>
          <w:insideH w:val="nil"/>
          <w:insideV w:val="nil"/>
        </w:tcBorders>
        <w:shd w:val="clear" w:color="auto" w:fill="E6DADA" w:themeFill="accent6"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FD48AA"/>
    <w:tblPr>
      <w:tblStyleRowBandSize w:val="1"/>
      <w:tblStyleColBandSize w:val="1"/>
      <w:tblBorders>
        <w:top w:val="single" w:sz="8" w:space="0" w:color="9C6A6A" w:themeColor="accent6"/>
        <w:left w:val="single" w:sz="8" w:space="0" w:color="9C6A6A" w:themeColor="accent6"/>
        <w:bottom w:val="single" w:sz="8" w:space="0" w:color="9C6A6A" w:themeColor="accent6"/>
        <w:right w:val="single" w:sz="8" w:space="0" w:color="9C6A6A" w:themeColor="accent6"/>
      </w:tblBorders>
    </w:tblPr>
    <w:tblStylePr w:type="firstRow">
      <w:pPr>
        <w:spacing w:before="0" w:after="0" w:line="240" w:lineRule="auto"/>
      </w:pPr>
      <w:rPr>
        <w:b/>
        <w:bCs/>
        <w:color w:val="FFFFFF" w:themeColor="background1"/>
      </w:rPr>
      <w:tblPr/>
      <w:tcPr>
        <w:shd w:val="clear" w:color="auto" w:fill="9C6A6A" w:themeFill="accent6"/>
      </w:tcPr>
    </w:tblStylePr>
    <w:tblStylePr w:type="lastRow">
      <w:pPr>
        <w:spacing w:before="0" w:after="0" w:line="240" w:lineRule="auto"/>
      </w:pPr>
      <w:rPr>
        <w:b/>
        <w:bCs/>
      </w:rPr>
      <w:tblPr/>
      <w:tcPr>
        <w:tcBorders>
          <w:top w:val="double" w:sz="6" w:space="0" w:color="9C6A6A" w:themeColor="accent6"/>
          <w:left w:val="single" w:sz="8" w:space="0" w:color="9C6A6A" w:themeColor="accent6"/>
          <w:bottom w:val="single" w:sz="8" w:space="0" w:color="9C6A6A" w:themeColor="accent6"/>
          <w:right w:val="single" w:sz="8" w:space="0" w:color="9C6A6A" w:themeColor="accent6"/>
        </w:tcBorders>
      </w:tcPr>
    </w:tblStylePr>
    <w:tblStylePr w:type="firstCol">
      <w:rPr>
        <w:b/>
        <w:bCs/>
      </w:rPr>
    </w:tblStylePr>
    <w:tblStylePr w:type="lastCol">
      <w:rPr>
        <w:b/>
        <w:bCs/>
      </w:rPr>
    </w:tblStylePr>
    <w:tblStylePr w:type="band1Vert">
      <w:tblPr/>
      <w:tcPr>
        <w:tcBorders>
          <w:top w:val="single" w:sz="8" w:space="0" w:color="9C6A6A" w:themeColor="accent6"/>
          <w:left w:val="single" w:sz="8" w:space="0" w:color="9C6A6A" w:themeColor="accent6"/>
          <w:bottom w:val="single" w:sz="8" w:space="0" w:color="9C6A6A" w:themeColor="accent6"/>
          <w:right w:val="single" w:sz="8" w:space="0" w:color="9C6A6A" w:themeColor="accent6"/>
        </w:tcBorders>
      </w:tcPr>
    </w:tblStylePr>
    <w:tblStylePr w:type="band1Horz">
      <w:tblPr/>
      <w:tcPr>
        <w:tcBorders>
          <w:top w:val="single" w:sz="8" w:space="0" w:color="9C6A6A" w:themeColor="accent6"/>
          <w:left w:val="single" w:sz="8" w:space="0" w:color="9C6A6A" w:themeColor="accent6"/>
          <w:bottom w:val="single" w:sz="8" w:space="0" w:color="9C6A6A" w:themeColor="accent6"/>
          <w:right w:val="single" w:sz="8" w:space="0" w:color="9C6A6A" w:themeColor="accent6"/>
        </w:tcBorders>
      </w:tcPr>
    </w:tblStylePr>
  </w:style>
  <w:style w:type="paragraph" w:styleId="BalloonText">
    <w:name w:val="Balloon Text"/>
    <w:basedOn w:val="Normal"/>
    <w:link w:val="BalloonTextChar"/>
    <w:uiPriority w:val="99"/>
    <w:semiHidden/>
    <w:unhideWhenUsed/>
    <w:rsid w:val="002A4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BA0"/>
    <w:rPr>
      <w:rFonts w:ascii="Tahoma" w:hAnsi="Tahoma" w:cs="Tahoma"/>
      <w:sz w:val="16"/>
      <w:szCs w:val="16"/>
    </w:rPr>
  </w:style>
  <w:style w:type="paragraph" w:customStyle="1" w:styleId="Bullet2">
    <w:name w:val="Bullet 2"/>
    <w:basedOn w:val="Bullets"/>
    <w:link w:val="Bullet2Char"/>
    <w:qFormat/>
    <w:rsid w:val="00C314EB"/>
    <w:pPr>
      <w:numPr>
        <w:numId w:val="6"/>
      </w:numPr>
    </w:pPr>
  </w:style>
  <w:style w:type="character" w:customStyle="1" w:styleId="Bullet2Char">
    <w:name w:val="Bullet 2 Char"/>
    <w:basedOn w:val="BulletsChar"/>
    <w:link w:val="Bullet2"/>
    <w:rsid w:val="00C314EB"/>
    <w:rPr>
      <w:rFonts w:asciiTheme="minorHAnsi" w:hAnsiTheme="minorHAnsi" w:cs="Segoe U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T:\Draft%20Documents\Manual\Page%20Templates\VRM%20Associated%20Document%20TEMPLATE%20.dotx" TargetMode="Externa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VRM Associated Document TEMPLATE </Template>
  <TotalTime>12</TotalTime>
  <Pages>3</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DHB Shared Services</Company>
  <LinksUpToDate>false</LinksUpToDate>
  <CharactersWithSpaces>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Breton</dc:creator>
  <cp:lastModifiedBy>Megan Buckley</cp:lastModifiedBy>
  <cp:revision>4</cp:revision>
  <dcterms:created xsi:type="dcterms:W3CDTF">2018-06-15T03:10:00Z</dcterms:created>
  <dcterms:modified xsi:type="dcterms:W3CDTF">2018-06-25T23:28:00Z</dcterms:modified>
</cp:coreProperties>
</file>